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BE36D" w14:textId="77777777" w:rsidR="00390CEA" w:rsidRDefault="008850CE" w:rsidP="00390CEA">
      <w:pPr>
        <w:pStyle w:val="prilozhenie"/>
        <w:ind w:left="-426" w:firstLine="0"/>
        <w:jc w:val="center"/>
        <w:rPr>
          <w:b/>
          <w:bCs/>
          <w:sz w:val="22"/>
          <w:szCs w:val="22"/>
        </w:rPr>
      </w:pPr>
      <w:r w:rsidRPr="00792CDA">
        <w:rPr>
          <w:b/>
          <w:bCs/>
          <w:sz w:val="22"/>
          <w:szCs w:val="22"/>
        </w:rPr>
        <w:t>Сообщение</w:t>
      </w:r>
      <w:r w:rsidR="00390CEA">
        <w:rPr>
          <w:b/>
          <w:bCs/>
          <w:sz w:val="22"/>
          <w:szCs w:val="22"/>
        </w:rPr>
        <w:t xml:space="preserve"> о существенном факте</w:t>
      </w:r>
    </w:p>
    <w:p w14:paraId="17D0C349" w14:textId="77777777" w:rsidR="008850CE" w:rsidRPr="00B106BD" w:rsidRDefault="00390CEA" w:rsidP="00390CEA">
      <w:pPr>
        <w:pStyle w:val="prilozhenie"/>
        <w:ind w:left="-426" w:firstLine="0"/>
        <w:jc w:val="center"/>
        <w:rPr>
          <w:b/>
          <w:bCs/>
          <w:sz w:val="22"/>
          <w:szCs w:val="22"/>
        </w:rPr>
      </w:pPr>
      <w:r>
        <w:rPr>
          <w:b/>
          <w:bCs/>
          <w:sz w:val="22"/>
          <w:szCs w:val="22"/>
        </w:rPr>
        <w:t>«О</w:t>
      </w:r>
      <w:r w:rsidRPr="00390CEA">
        <w:rPr>
          <w:b/>
          <w:bCs/>
          <w:sz w:val="22"/>
          <w:szCs w:val="22"/>
        </w:rPr>
        <w:t xml:space="preserve"> приобретении (наступлении оснований для приобретения) эмитентом размещенных им облигаций</w:t>
      </w:r>
      <w:r w:rsidR="008850CE" w:rsidRPr="00792CDA">
        <w:rPr>
          <w:b/>
          <w:bCs/>
          <w:sz w:val="22"/>
          <w:szCs w:val="22"/>
        </w:rPr>
        <w:t>»</w:t>
      </w:r>
    </w:p>
    <w:p w14:paraId="3EE09692" w14:textId="77777777" w:rsidR="00CA4BEF" w:rsidRPr="00792CDA" w:rsidRDefault="00CA4BEF" w:rsidP="00CA4BEF">
      <w:pPr>
        <w:pStyle w:val="prilozhenie"/>
        <w:ind w:left="-426" w:firstLine="0"/>
        <w:jc w:val="center"/>
        <w:rPr>
          <w:sz w:val="14"/>
          <w:szCs w:val="14"/>
        </w:rPr>
      </w:pPr>
    </w:p>
    <w:tbl>
      <w:tblPr>
        <w:tblW w:w="103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5108"/>
      </w:tblGrid>
      <w:tr w:rsidR="00391FB7" w:rsidRPr="00C57413" w14:paraId="6E7E2C6D" w14:textId="77777777" w:rsidTr="00391FB7">
        <w:tc>
          <w:tcPr>
            <w:tcW w:w="10353" w:type="dxa"/>
            <w:gridSpan w:val="2"/>
            <w:tcBorders>
              <w:top w:val="single" w:sz="4" w:space="0" w:color="auto"/>
              <w:left w:val="single" w:sz="4" w:space="0" w:color="auto"/>
              <w:bottom w:val="single" w:sz="4" w:space="0" w:color="auto"/>
              <w:right w:val="single" w:sz="4" w:space="0" w:color="auto"/>
            </w:tcBorders>
          </w:tcPr>
          <w:p w14:paraId="67381B5A" w14:textId="77777777" w:rsidR="00391FB7" w:rsidRPr="00C57413" w:rsidRDefault="00391FB7" w:rsidP="0020558D">
            <w:pPr>
              <w:jc w:val="center"/>
              <w:rPr>
                <w:b/>
                <w:sz w:val="22"/>
                <w:szCs w:val="22"/>
              </w:rPr>
            </w:pPr>
            <w:r w:rsidRPr="00C57413">
              <w:rPr>
                <w:b/>
                <w:sz w:val="22"/>
                <w:szCs w:val="22"/>
              </w:rPr>
              <w:t xml:space="preserve">1. </w:t>
            </w:r>
            <w:proofErr w:type="spellStart"/>
            <w:r w:rsidRPr="00C57413">
              <w:rPr>
                <w:b/>
                <w:sz w:val="22"/>
                <w:szCs w:val="22"/>
              </w:rPr>
              <w:t>Общие</w:t>
            </w:r>
            <w:proofErr w:type="spellEnd"/>
            <w:r w:rsidRPr="00C57413">
              <w:rPr>
                <w:b/>
                <w:sz w:val="22"/>
                <w:szCs w:val="22"/>
              </w:rPr>
              <w:t xml:space="preserve"> </w:t>
            </w:r>
            <w:proofErr w:type="spellStart"/>
            <w:r w:rsidRPr="00C57413">
              <w:rPr>
                <w:b/>
                <w:sz w:val="22"/>
                <w:szCs w:val="22"/>
              </w:rPr>
              <w:t>сведения</w:t>
            </w:r>
            <w:proofErr w:type="spellEnd"/>
          </w:p>
        </w:tc>
      </w:tr>
      <w:tr w:rsidR="00391FB7" w:rsidRPr="00391FB7" w14:paraId="175491C0"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797B3E8A" w14:textId="77777777" w:rsidR="00391FB7" w:rsidRPr="00391FB7" w:rsidRDefault="00391FB7" w:rsidP="0020558D">
            <w:pPr>
              <w:ind w:left="57" w:right="57"/>
              <w:jc w:val="both"/>
              <w:rPr>
                <w:sz w:val="22"/>
                <w:szCs w:val="22"/>
                <w:lang w:val="ru-RU"/>
              </w:rPr>
            </w:pPr>
            <w:r w:rsidRPr="00391FB7">
              <w:rPr>
                <w:sz w:val="22"/>
                <w:szCs w:val="22"/>
                <w:lang w:val="ru-RU"/>
              </w:rPr>
              <w:t>1.1.</w:t>
            </w:r>
            <w:r w:rsidRPr="00C57413">
              <w:rPr>
                <w:sz w:val="22"/>
                <w:szCs w:val="22"/>
              </w:rPr>
              <w:t> </w:t>
            </w:r>
            <w:r w:rsidRPr="00391FB7">
              <w:rPr>
                <w:sz w:val="22"/>
                <w:szCs w:val="22"/>
                <w:lang w:val="ru-RU"/>
              </w:rPr>
              <w:t>Полное фирменное наименование (для коммерческой организации) или наименование (для некоммерческой организации) эмитента</w:t>
            </w:r>
          </w:p>
        </w:tc>
        <w:tc>
          <w:tcPr>
            <w:tcW w:w="5108" w:type="dxa"/>
            <w:vAlign w:val="center"/>
          </w:tcPr>
          <w:p w14:paraId="081B3889" w14:textId="77777777" w:rsidR="00391FB7" w:rsidRPr="00391FB7" w:rsidRDefault="00391FB7" w:rsidP="0020558D">
            <w:pPr>
              <w:ind w:left="38" w:right="57"/>
              <w:rPr>
                <w:b/>
                <w:i/>
                <w:color w:val="000000"/>
                <w:sz w:val="22"/>
                <w:szCs w:val="22"/>
                <w:lang w:val="ru-RU"/>
              </w:rPr>
            </w:pPr>
            <w:r w:rsidRPr="00391FB7">
              <w:rPr>
                <w:b/>
                <w:i/>
                <w:sz w:val="22"/>
                <w:szCs w:val="22"/>
                <w:lang w:val="ru-RU"/>
              </w:rPr>
              <w:t>Общество с ограниченной ответственностью "ИКС 5 ФИНАНС"</w:t>
            </w:r>
          </w:p>
        </w:tc>
      </w:tr>
      <w:tr w:rsidR="00391FB7" w:rsidRPr="00C57413" w14:paraId="6CD40FC6"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22682C26" w14:textId="77777777" w:rsidR="00391FB7" w:rsidRPr="00391FB7" w:rsidRDefault="00391FB7" w:rsidP="0020558D">
            <w:pPr>
              <w:ind w:left="57" w:right="57"/>
              <w:jc w:val="both"/>
              <w:rPr>
                <w:sz w:val="22"/>
                <w:szCs w:val="22"/>
                <w:lang w:val="ru-RU"/>
              </w:rPr>
            </w:pPr>
            <w:r w:rsidRPr="00391FB7">
              <w:rPr>
                <w:sz w:val="22"/>
                <w:szCs w:val="22"/>
                <w:lang w:val="ru-RU"/>
              </w:rPr>
              <w:t>1.2.</w:t>
            </w:r>
            <w:r w:rsidRPr="00C57413">
              <w:rPr>
                <w:sz w:val="22"/>
                <w:szCs w:val="22"/>
              </w:rPr>
              <w:t> </w:t>
            </w:r>
            <w:r w:rsidRPr="00391FB7">
              <w:rPr>
                <w:sz w:val="22"/>
                <w:szCs w:val="22"/>
                <w:lang w:val="ru-RU"/>
              </w:rPr>
              <w:t>Адрес эмитента, указанный в едином государственном реестре юридических лиц</w:t>
            </w:r>
          </w:p>
        </w:tc>
        <w:tc>
          <w:tcPr>
            <w:tcW w:w="5108" w:type="dxa"/>
            <w:vAlign w:val="center"/>
          </w:tcPr>
          <w:p w14:paraId="11726687" w14:textId="77777777" w:rsidR="00391FB7" w:rsidRPr="00C57413" w:rsidRDefault="00391FB7" w:rsidP="0020558D">
            <w:pPr>
              <w:ind w:left="38" w:right="57"/>
              <w:rPr>
                <w:b/>
                <w:i/>
                <w:color w:val="000000"/>
                <w:sz w:val="22"/>
                <w:szCs w:val="22"/>
              </w:rPr>
            </w:pPr>
            <w:r w:rsidRPr="00391FB7">
              <w:rPr>
                <w:b/>
                <w:i/>
                <w:sz w:val="22"/>
                <w:szCs w:val="22"/>
                <w:lang w:val="ru-RU"/>
              </w:rPr>
              <w:t xml:space="preserve">109029, г. Москва, ул. Средняя </w:t>
            </w:r>
            <w:proofErr w:type="spellStart"/>
            <w:r w:rsidRPr="00391FB7">
              <w:rPr>
                <w:b/>
                <w:i/>
                <w:sz w:val="22"/>
                <w:szCs w:val="22"/>
                <w:lang w:val="ru-RU"/>
              </w:rPr>
              <w:t>Калитниковская</w:t>
            </w:r>
            <w:proofErr w:type="spellEnd"/>
            <w:r w:rsidRPr="00391FB7">
              <w:rPr>
                <w:b/>
                <w:i/>
                <w:sz w:val="22"/>
                <w:szCs w:val="22"/>
                <w:lang w:val="ru-RU"/>
              </w:rPr>
              <w:t xml:space="preserve">, д. 28 стр. 4 этаж 2 пом. </w:t>
            </w:r>
            <w:r w:rsidRPr="00C57413">
              <w:rPr>
                <w:b/>
                <w:i/>
                <w:sz w:val="22"/>
                <w:szCs w:val="22"/>
              </w:rPr>
              <w:t xml:space="preserve">XXIX </w:t>
            </w:r>
            <w:proofErr w:type="spellStart"/>
            <w:r w:rsidRPr="00C57413">
              <w:rPr>
                <w:b/>
                <w:i/>
                <w:sz w:val="22"/>
                <w:szCs w:val="22"/>
              </w:rPr>
              <w:t>ком</w:t>
            </w:r>
            <w:proofErr w:type="spellEnd"/>
            <w:r w:rsidRPr="00C57413">
              <w:rPr>
                <w:b/>
                <w:i/>
                <w:sz w:val="22"/>
                <w:szCs w:val="22"/>
              </w:rPr>
              <w:t>. 20</w:t>
            </w:r>
          </w:p>
        </w:tc>
      </w:tr>
      <w:tr w:rsidR="00391FB7" w:rsidRPr="00C57413" w14:paraId="40D7762E"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1E6E0AC1" w14:textId="77777777" w:rsidR="00391FB7" w:rsidRPr="00391FB7" w:rsidRDefault="00391FB7" w:rsidP="0020558D">
            <w:pPr>
              <w:ind w:left="57" w:right="57"/>
              <w:jc w:val="both"/>
              <w:rPr>
                <w:sz w:val="22"/>
                <w:szCs w:val="22"/>
                <w:lang w:val="ru-RU"/>
              </w:rPr>
            </w:pPr>
            <w:r w:rsidRPr="00391FB7">
              <w:rPr>
                <w:sz w:val="22"/>
                <w:szCs w:val="22"/>
                <w:lang w:val="ru-RU"/>
              </w:rPr>
              <w:t>1.3.</w:t>
            </w:r>
            <w:r w:rsidRPr="00C57413">
              <w:rPr>
                <w:sz w:val="22"/>
                <w:szCs w:val="22"/>
              </w:rPr>
              <w:t> </w:t>
            </w:r>
            <w:r w:rsidRPr="00391FB7">
              <w:rPr>
                <w:sz w:val="22"/>
                <w:szCs w:val="22"/>
                <w:lang w:val="ru-RU"/>
              </w:rPr>
              <w:t>Основной государственный регистрационный номер (ОГРН) эмитента (при наличии)</w:t>
            </w:r>
          </w:p>
        </w:tc>
        <w:tc>
          <w:tcPr>
            <w:tcW w:w="5108" w:type="dxa"/>
            <w:vAlign w:val="center"/>
          </w:tcPr>
          <w:p w14:paraId="7E9F5045" w14:textId="77777777" w:rsidR="00391FB7" w:rsidRPr="00C57413" w:rsidRDefault="00391FB7" w:rsidP="0020558D">
            <w:pPr>
              <w:ind w:left="38" w:right="57"/>
              <w:rPr>
                <w:b/>
                <w:i/>
                <w:sz w:val="22"/>
                <w:szCs w:val="22"/>
              </w:rPr>
            </w:pPr>
            <w:r w:rsidRPr="00C57413">
              <w:rPr>
                <w:b/>
                <w:i/>
                <w:sz w:val="22"/>
                <w:szCs w:val="22"/>
              </w:rPr>
              <w:t>1067761792053</w:t>
            </w:r>
          </w:p>
        </w:tc>
      </w:tr>
      <w:tr w:rsidR="00391FB7" w:rsidRPr="00C57413" w14:paraId="29CE5415"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24DD9A27" w14:textId="77777777" w:rsidR="00391FB7" w:rsidRPr="00391FB7" w:rsidRDefault="00391FB7" w:rsidP="0020558D">
            <w:pPr>
              <w:ind w:left="57" w:right="57"/>
              <w:jc w:val="both"/>
              <w:rPr>
                <w:sz w:val="22"/>
                <w:szCs w:val="22"/>
                <w:lang w:val="ru-RU"/>
              </w:rPr>
            </w:pPr>
            <w:r w:rsidRPr="00391FB7">
              <w:rPr>
                <w:sz w:val="22"/>
                <w:szCs w:val="22"/>
                <w:lang w:val="ru-RU"/>
              </w:rPr>
              <w:t>1.4.</w:t>
            </w:r>
            <w:r w:rsidRPr="00C57413">
              <w:rPr>
                <w:sz w:val="22"/>
                <w:szCs w:val="22"/>
              </w:rPr>
              <w:t> </w:t>
            </w:r>
            <w:r w:rsidRPr="00391FB7">
              <w:rPr>
                <w:sz w:val="22"/>
                <w:szCs w:val="22"/>
                <w:lang w:val="ru-RU"/>
              </w:rPr>
              <w:t>Идентификационный номер налогоплательщика (ИНН) эмитента (при наличии)</w:t>
            </w:r>
          </w:p>
        </w:tc>
        <w:tc>
          <w:tcPr>
            <w:tcW w:w="5108" w:type="dxa"/>
            <w:vAlign w:val="center"/>
          </w:tcPr>
          <w:p w14:paraId="646FA308" w14:textId="77777777" w:rsidR="00391FB7" w:rsidRPr="00C57413" w:rsidRDefault="00391FB7" w:rsidP="0020558D">
            <w:pPr>
              <w:ind w:left="38" w:right="57"/>
              <w:rPr>
                <w:b/>
                <w:i/>
                <w:sz w:val="22"/>
                <w:szCs w:val="22"/>
              </w:rPr>
            </w:pPr>
            <w:r w:rsidRPr="00C57413">
              <w:rPr>
                <w:b/>
                <w:i/>
                <w:sz w:val="22"/>
                <w:szCs w:val="22"/>
              </w:rPr>
              <w:t>7715630469</w:t>
            </w:r>
          </w:p>
        </w:tc>
      </w:tr>
      <w:tr w:rsidR="00391FB7" w:rsidRPr="00C57413" w14:paraId="658B129B"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6B7C6BDD" w14:textId="77777777" w:rsidR="00391FB7" w:rsidRPr="00391FB7" w:rsidRDefault="00391FB7" w:rsidP="0020558D">
            <w:pPr>
              <w:ind w:left="57" w:right="57"/>
              <w:jc w:val="both"/>
              <w:rPr>
                <w:sz w:val="22"/>
                <w:szCs w:val="22"/>
                <w:lang w:val="ru-RU"/>
              </w:rPr>
            </w:pPr>
            <w:r w:rsidRPr="00391FB7">
              <w:rPr>
                <w:sz w:val="22"/>
                <w:szCs w:val="22"/>
                <w:lang w:val="ru-RU"/>
              </w:rPr>
              <w:t>1.5.</w:t>
            </w:r>
            <w:r w:rsidRPr="00C57413">
              <w:rPr>
                <w:sz w:val="22"/>
                <w:szCs w:val="22"/>
              </w:rPr>
              <w:t> </w:t>
            </w:r>
            <w:r w:rsidRPr="00391FB7">
              <w:rPr>
                <w:sz w:val="22"/>
                <w:szCs w:val="22"/>
                <w:lang w:val="ru-RU"/>
              </w:rPr>
              <w:t>Уникальный код эмитента, присвоенный Банком России</w:t>
            </w:r>
          </w:p>
        </w:tc>
        <w:tc>
          <w:tcPr>
            <w:tcW w:w="5108" w:type="dxa"/>
            <w:vAlign w:val="center"/>
          </w:tcPr>
          <w:p w14:paraId="1F42ED01" w14:textId="77777777" w:rsidR="00391FB7" w:rsidRPr="00C57413" w:rsidRDefault="00391FB7" w:rsidP="0020558D">
            <w:pPr>
              <w:ind w:left="38" w:right="57"/>
              <w:rPr>
                <w:b/>
                <w:i/>
                <w:sz w:val="22"/>
                <w:szCs w:val="22"/>
              </w:rPr>
            </w:pPr>
            <w:r w:rsidRPr="00C57413">
              <w:rPr>
                <w:b/>
                <w:i/>
                <w:sz w:val="22"/>
                <w:szCs w:val="22"/>
              </w:rPr>
              <w:t>36241-R</w:t>
            </w:r>
          </w:p>
        </w:tc>
      </w:tr>
      <w:tr w:rsidR="00391FB7" w:rsidRPr="00391FB7" w14:paraId="1135C7C7"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2355BCF2" w14:textId="77777777" w:rsidR="00391FB7" w:rsidRPr="00391FB7" w:rsidRDefault="00391FB7" w:rsidP="0020558D">
            <w:pPr>
              <w:ind w:left="57" w:right="57"/>
              <w:jc w:val="both"/>
              <w:rPr>
                <w:sz w:val="22"/>
                <w:szCs w:val="22"/>
                <w:lang w:val="ru-RU"/>
              </w:rPr>
            </w:pPr>
            <w:r w:rsidRPr="00391FB7">
              <w:rPr>
                <w:sz w:val="22"/>
                <w:szCs w:val="22"/>
                <w:lang w:val="ru-RU"/>
              </w:rPr>
              <w:t>1.6.</w:t>
            </w:r>
            <w:r w:rsidRPr="00C57413">
              <w:rPr>
                <w:sz w:val="22"/>
                <w:szCs w:val="22"/>
              </w:rPr>
              <w:t> </w:t>
            </w:r>
            <w:r w:rsidRPr="00391FB7">
              <w:rPr>
                <w:sz w:val="22"/>
                <w:szCs w:val="22"/>
                <w:lang w:val="ru-RU"/>
              </w:rPr>
              <w:t>Адрес страницы в сети «Интернет», используемой эмитентом для раскрытия информации</w:t>
            </w:r>
          </w:p>
        </w:tc>
        <w:tc>
          <w:tcPr>
            <w:tcW w:w="5108" w:type="dxa"/>
            <w:vAlign w:val="center"/>
          </w:tcPr>
          <w:p w14:paraId="2B3E5453" w14:textId="77777777" w:rsidR="00391FB7" w:rsidRPr="00391FB7" w:rsidRDefault="00391FB7" w:rsidP="0020558D">
            <w:pPr>
              <w:ind w:left="38" w:right="57"/>
              <w:rPr>
                <w:b/>
                <w:i/>
                <w:sz w:val="22"/>
                <w:szCs w:val="22"/>
                <w:lang w:val="ru-RU"/>
              </w:rPr>
            </w:pPr>
            <w:r w:rsidRPr="00C57413">
              <w:rPr>
                <w:b/>
                <w:i/>
                <w:sz w:val="22"/>
                <w:szCs w:val="22"/>
              </w:rPr>
              <w:t>https</w:t>
            </w:r>
            <w:r w:rsidRPr="00391FB7">
              <w:rPr>
                <w:b/>
                <w:i/>
                <w:sz w:val="22"/>
                <w:szCs w:val="22"/>
                <w:lang w:val="ru-RU"/>
              </w:rPr>
              <w:t>://</w:t>
            </w:r>
            <w:r w:rsidRPr="00C57413">
              <w:rPr>
                <w:b/>
                <w:i/>
                <w:sz w:val="22"/>
                <w:szCs w:val="22"/>
              </w:rPr>
              <w:t>www</w:t>
            </w:r>
            <w:r w:rsidRPr="00391FB7">
              <w:rPr>
                <w:b/>
                <w:i/>
                <w:sz w:val="22"/>
                <w:szCs w:val="22"/>
                <w:lang w:val="ru-RU"/>
              </w:rPr>
              <w:t>.</w:t>
            </w:r>
            <w:r w:rsidRPr="00C57413">
              <w:rPr>
                <w:b/>
                <w:i/>
                <w:sz w:val="22"/>
                <w:szCs w:val="22"/>
              </w:rPr>
              <w:t>e</w:t>
            </w:r>
            <w:r w:rsidRPr="00391FB7">
              <w:rPr>
                <w:b/>
                <w:i/>
                <w:sz w:val="22"/>
                <w:szCs w:val="22"/>
                <w:lang w:val="ru-RU"/>
              </w:rPr>
              <w:t>-</w:t>
            </w:r>
            <w:r w:rsidRPr="00C57413">
              <w:rPr>
                <w:b/>
                <w:i/>
                <w:sz w:val="22"/>
                <w:szCs w:val="22"/>
              </w:rPr>
              <w:t>disclosure</w:t>
            </w:r>
            <w:r w:rsidRPr="00391FB7">
              <w:rPr>
                <w:b/>
                <w:i/>
                <w:sz w:val="22"/>
                <w:szCs w:val="22"/>
                <w:lang w:val="ru-RU"/>
              </w:rPr>
              <w:t>.</w:t>
            </w:r>
            <w:proofErr w:type="spellStart"/>
            <w:r w:rsidRPr="00C57413">
              <w:rPr>
                <w:b/>
                <w:i/>
                <w:sz w:val="22"/>
                <w:szCs w:val="22"/>
              </w:rPr>
              <w:t>ru</w:t>
            </w:r>
            <w:proofErr w:type="spellEnd"/>
            <w:r w:rsidRPr="00391FB7">
              <w:rPr>
                <w:b/>
                <w:i/>
                <w:sz w:val="22"/>
                <w:szCs w:val="22"/>
                <w:lang w:val="ru-RU"/>
              </w:rPr>
              <w:t>/</w:t>
            </w:r>
            <w:r w:rsidRPr="00C57413">
              <w:rPr>
                <w:b/>
                <w:i/>
                <w:sz w:val="22"/>
                <w:szCs w:val="22"/>
              </w:rPr>
              <w:t>portal</w:t>
            </w:r>
            <w:r w:rsidRPr="00391FB7">
              <w:rPr>
                <w:b/>
                <w:i/>
                <w:sz w:val="22"/>
                <w:szCs w:val="22"/>
                <w:lang w:val="ru-RU"/>
              </w:rPr>
              <w:t>/</w:t>
            </w:r>
            <w:r w:rsidRPr="00C57413">
              <w:rPr>
                <w:b/>
                <w:i/>
                <w:sz w:val="22"/>
                <w:szCs w:val="22"/>
              </w:rPr>
              <w:t>company</w:t>
            </w:r>
            <w:r w:rsidRPr="00391FB7">
              <w:rPr>
                <w:b/>
                <w:i/>
                <w:sz w:val="22"/>
                <w:szCs w:val="22"/>
                <w:lang w:val="ru-RU"/>
              </w:rPr>
              <w:t>.</w:t>
            </w:r>
            <w:proofErr w:type="spellStart"/>
            <w:r w:rsidRPr="00C57413">
              <w:rPr>
                <w:b/>
                <w:i/>
                <w:sz w:val="22"/>
                <w:szCs w:val="22"/>
              </w:rPr>
              <w:t>aspx</w:t>
            </w:r>
            <w:proofErr w:type="spellEnd"/>
            <w:r w:rsidRPr="00391FB7">
              <w:rPr>
                <w:b/>
                <w:i/>
                <w:sz w:val="22"/>
                <w:szCs w:val="22"/>
                <w:lang w:val="ru-RU"/>
              </w:rPr>
              <w:t>?</w:t>
            </w:r>
            <w:r w:rsidRPr="00C57413">
              <w:rPr>
                <w:b/>
                <w:i/>
                <w:sz w:val="22"/>
                <w:szCs w:val="22"/>
              </w:rPr>
              <w:t>id</w:t>
            </w:r>
            <w:r w:rsidRPr="00391FB7">
              <w:rPr>
                <w:b/>
                <w:i/>
                <w:sz w:val="22"/>
                <w:szCs w:val="22"/>
                <w:lang w:val="ru-RU"/>
              </w:rPr>
              <w:t xml:space="preserve">=9483; </w:t>
            </w:r>
            <w:r w:rsidRPr="00C57413">
              <w:rPr>
                <w:b/>
                <w:i/>
                <w:sz w:val="22"/>
                <w:szCs w:val="22"/>
              </w:rPr>
              <w:t>https</w:t>
            </w:r>
            <w:r w:rsidRPr="00391FB7">
              <w:rPr>
                <w:b/>
                <w:i/>
                <w:sz w:val="22"/>
                <w:szCs w:val="22"/>
                <w:lang w:val="ru-RU"/>
              </w:rPr>
              <w:t>://</w:t>
            </w:r>
            <w:r w:rsidRPr="00C57413">
              <w:rPr>
                <w:b/>
                <w:i/>
                <w:sz w:val="22"/>
                <w:szCs w:val="22"/>
              </w:rPr>
              <w:t>www</w:t>
            </w:r>
            <w:r w:rsidRPr="00391FB7">
              <w:rPr>
                <w:b/>
                <w:i/>
                <w:sz w:val="22"/>
                <w:szCs w:val="22"/>
                <w:lang w:val="ru-RU"/>
              </w:rPr>
              <w:t>.</w:t>
            </w:r>
            <w:r w:rsidRPr="00C57413">
              <w:rPr>
                <w:b/>
                <w:i/>
                <w:sz w:val="22"/>
                <w:szCs w:val="22"/>
              </w:rPr>
              <w:t>x</w:t>
            </w:r>
            <w:r w:rsidRPr="00391FB7">
              <w:rPr>
                <w:b/>
                <w:i/>
                <w:sz w:val="22"/>
                <w:szCs w:val="22"/>
                <w:lang w:val="ru-RU"/>
              </w:rPr>
              <w:t>5-</w:t>
            </w:r>
            <w:r w:rsidRPr="00C57413">
              <w:rPr>
                <w:b/>
                <w:i/>
                <w:sz w:val="22"/>
                <w:szCs w:val="22"/>
              </w:rPr>
              <w:t>finance</w:t>
            </w:r>
            <w:r w:rsidRPr="00391FB7">
              <w:rPr>
                <w:b/>
                <w:i/>
                <w:sz w:val="22"/>
                <w:szCs w:val="22"/>
                <w:lang w:val="ru-RU"/>
              </w:rPr>
              <w:t>.</w:t>
            </w:r>
            <w:proofErr w:type="spellStart"/>
            <w:r w:rsidRPr="00C57413">
              <w:rPr>
                <w:b/>
                <w:i/>
                <w:sz w:val="22"/>
                <w:szCs w:val="22"/>
              </w:rPr>
              <w:t>ru</w:t>
            </w:r>
            <w:proofErr w:type="spellEnd"/>
            <w:r w:rsidRPr="00391FB7">
              <w:rPr>
                <w:b/>
                <w:i/>
                <w:sz w:val="22"/>
                <w:szCs w:val="22"/>
                <w:lang w:val="ru-RU"/>
              </w:rPr>
              <w:t>/</w:t>
            </w:r>
          </w:p>
        </w:tc>
      </w:tr>
      <w:tr w:rsidR="00391FB7" w:rsidRPr="00C57413" w14:paraId="53C4B0BB" w14:textId="77777777" w:rsidTr="00391FB7">
        <w:tblPrEx>
          <w:tblCellMar>
            <w:left w:w="108" w:type="dxa"/>
            <w:right w:w="108" w:type="dxa"/>
          </w:tblCellMar>
          <w:tblLook w:val="01E0" w:firstRow="1" w:lastRow="1" w:firstColumn="1" w:lastColumn="1" w:noHBand="0" w:noVBand="0"/>
        </w:tblPrEx>
        <w:tc>
          <w:tcPr>
            <w:tcW w:w="5245" w:type="dxa"/>
            <w:tcBorders>
              <w:top w:val="single" w:sz="4" w:space="0" w:color="auto"/>
              <w:left w:val="single" w:sz="4" w:space="0" w:color="auto"/>
              <w:bottom w:val="single" w:sz="4" w:space="0" w:color="auto"/>
              <w:right w:val="single" w:sz="4" w:space="0" w:color="auto"/>
            </w:tcBorders>
            <w:hideMark/>
          </w:tcPr>
          <w:p w14:paraId="573DC5AE" w14:textId="77777777" w:rsidR="00391FB7" w:rsidRPr="00391FB7" w:rsidRDefault="00391FB7" w:rsidP="0020558D">
            <w:pPr>
              <w:ind w:left="57" w:right="57"/>
              <w:jc w:val="both"/>
              <w:rPr>
                <w:sz w:val="22"/>
                <w:szCs w:val="22"/>
                <w:lang w:val="ru-RU"/>
              </w:rPr>
            </w:pPr>
            <w:r w:rsidRPr="00391FB7">
              <w:rPr>
                <w:sz w:val="22"/>
                <w:szCs w:val="22"/>
                <w:lang w:val="ru-RU"/>
              </w:rPr>
              <w:t>1.7.</w:t>
            </w:r>
            <w:r w:rsidRPr="00C57413">
              <w:rPr>
                <w:sz w:val="22"/>
                <w:szCs w:val="22"/>
              </w:rPr>
              <w:t> </w:t>
            </w:r>
            <w:r w:rsidRPr="00391FB7">
              <w:rPr>
                <w:sz w:val="22"/>
                <w:szCs w:val="22"/>
                <w:lang w:val="ru-RU"/>
              </w:rPr>
              <w:t>Дата наступления события (существенного факта), о котором составлено сообщение</w:t>
            </w:r>
          </w:p>
        </w:tc>
        <w:tc>
          <w:tcPr>
            <w:tcW w:w="5108" w:type="dxa"/>
            <w:vAlign w:val="center"/>
          </w:tcPr>
          <w:p w14:paraId="77D57A60" w14:textId="72DB573A" w:rsidR="00391FB7" w:rsidRPr="00C57413" w:rsidRDefault="00391FB7" w:rsidP="0020558D">
            <w:pPr>
              <w:ind w:left="38" w:right="57"/>
              <w:rPr>
                <w:b/>
                <w:i/>
                <w:sz w:val="22"/>
                <w:szCs w:val="22"/>
                <w:highlight w:val="yellow"/>
              </w:rPr>
            </w:pPr>
            <w:r>
              <w:rPr>
                <w:b/>
                <w:i/>
                <w:sz w:val="22"/>
                <w:szCs w:val="22"/>
              </w:rPr>
              <w:t>0</w:t>
            </w:r>
            <w:r w:rsidR="00EC165B">
              <w:rPr>
                <w:b/>
                <w:i/>
                <w:sz w:val="22"/>
                <w:szCs w:val="22"/>
                <w:lang w:val="ru-RU"/>
              </w:rPr>
              <w:t>2</w:t>
            </w:r>
            <w:r w:rsidRPr="00C57413">
              <w:rPr>
                <w:b/>
                <w:i/>
                <w:sz w:val="22"/>
                <w:szCs w:val="22"/>
                <w:lang w:val="en-US"/>
              </w:rPr>
              <w:t>.</w:t>
            </w:r>
            <w:r w:rsidRPr="00C57413">
              <w:rPr>
                <w:b/>
                <w:i/>
                <w:sz w:val="22"/>
                <w:szCs w:val="22"/>
              </w:rPr>
              <w:t>0</w:t>
            </w:r>
            <w:r>
              <w:rPr>
                <w:b/>
                <w:i/>
                <w:sz w:val="22"/>
                <w:szCs w:val="22"/>
              </w:rPr>
              <w:t>9</w:t>
            </w:r>
            <w:r w:rsidRPr="00C57413">
              <w:rPr>
                <w:b/>
                <w:i/>
                <w:sz w:val="22"/>
                <w:szCs w:val="22"/>
                <w:lang w:val="en-US"/>
              </w:rPr>
              <w:t>.</w:t>
            </w:r>
            <w:r w:rsidRPr="00C57413">
              <w:rPr>
                <w:b/>
                <w:i/>
                <w:sz w:val="22"/>
                <w:szCs w:val="22"/>
              </w:rPr>
              <w:t xml:space="preserve">2025 </w:t>
            </w:r>
          </w:p>
        </w:tc>
      </w:tr>
    </w:tbl>
    <w:p w14:paraId="623E12E1" w14:textId="77777777" w:rsidR="00AC7EF6" w:rsidRPr="00A02DC5" w:rsidRDefault="00AC7EF6" w:rsidP="00E55FFE">
      <w:pPr>
        <w:pStyle w:val="prilozhenie"/>
        <w:ind w:firstLine="0"/>
        <w:rPr>
          <w:sz w:val="22"/>
          <w:szCs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0D6495" w:rsidRPr="00A02DC5" w14:paraId="4CE0FD2A" w14:textId="77777777" w:rsidTr="00391FB7">
        <w:tc>
          <w:tcPr>
            <w:tcW w:w="10348" w:type="dxa"/>
            <w:shd w:val="clear" w:color="auto" w:fill="auto"/>
          </w:tcPr>
          <w:p w14:paraId="02673821" w14:textId="77777777" w:rsidR="000D6495" w:rsidRPr="00A02DC5" w:rsidRDefault="000D6495" w:rsidP="001B6C4B">
            <w:pPr>
              <w:pStyle w:val="prilozhenie"/>
              <w:ind w:firstLine="0"/>
              <w:jc w:val="center"/>
              <w:rPr>
                <w:sz w:val="22"/>
                <w:szCs w:val="22"/>
              </w:rPr>
            </w:pPr>
            <w:r w:rsidRPr="00A02DC5">
              <w:rPr>
                <w:sz w:val="22"/>
                <w:szCs w:val="22"/>
              </w:rPr>
              <w:t>2. Содержание сообщения</w:t>
            </w:r>
          </w:p>
        </w:tc>
      </w:tr>
      <w:tr w:rsidR="000D6495" w:rsidRPr="00391FB7" w14:paraId="2CBC59E9" w14:textId="77777777" w:rsidTr="00391FB7">
        <w:trPr>
          <w:trHeight w:val="527"/>
        </w:trPr>
        <w:tc>
          <w:tcPr>
            <w:tcW w:w="10348" w:type="dxa"/>
            <w:shd w:val="clear" w:color="auto" w:fill="auto"/>
          </w:tcPr>
          <w:p w14:paraId="798941E8" w14:textId="5E8FC139" w:rsidR="00391FB7" w:rsidRPr="00391FB7" w:rsidRDefault="00D76FE3" w:rsidP="00391FB7">
            <w:pPr>
              <w:spacing w:before="120"/>
              <w:ind w:left="57" w:right="57"/>
              <w:jc w:val="both"/>
              <w:rPr>
                <w:rFonts w:eastAsia="Calibri"/>
                <w:b/>
                <w:i/>
                <w:sz w:val="22"/>
                <w:szCs w:val="22"/>
                <w:lang w:val="ru-RU"/>
              </w:rPr>
            </w:pPr>
            <w:r w:rsidRPr="00A02DC5">
              <w:rPr>
                <w:sz w:val="22"/>
                <w:szCs w:val="22"/>
                <w:lang w:val="ru-RU" w:eastAsia="ru-RU"/>
              </w:rPr>
              <w:t xml:space="preserve">2.1. </w:t>
            </w:r>
            <w:r w:rsidR="00F052DF" w:rsidRPr="00A02DC5">
              <w:rPr>
                <w:sz w:val="22"/>
                <w:szCs w:val="22"/>
                <w:lang w:val="ru-RU" w:eastAsia="ru-RU"/>
              </w:rPr>
              <w:t>И</w:t>
            </w:r>
            <w:r w:rsidR="00DD6858" w:rsidRPr="00A02DC5">
              <w:rPr>
                <w:sz w:val="22"/>
                <w:szCs w:val="22"/>
                <w:lang w:val="ru-RU" w:eastAsia="ru-RU"/>
              </w:rPr>
              <w:t xml:space="preserve">дентификационные признаки </w:t>
            </w:r>
            <w:r w:rsidR="00B9127A" w:rsidRPr="00A02DC5">
              <w:rPr>
                <w:sz w:val="22"/>
                <w:szCs w:val="22"/>
                <w:lang w:val="ru-RU" w:eastAsia="ru-RU"/>
              </w:rPr>
              <w:t>ценных бумаг (</w:t>
            </w:r>
            <w:r w:rsidR="00DD6858" w:rsidRPr="00A02DC5">
              <w:rPr>
                <w:sz w:val="22"/>
                <w:szCs w:val="22"/>
                <w:lang w:val="ru-RU" w:eastAsia="ru-RU"/>
              </w:rPr>
              <w:t>облигаций, приобретаемых эмитентом</w:t>
            </w:r>
            <w:r w:rsidR="00B9127A" w:rsidRPr="00A02DC5">
              <w:rPr>
                <w:sz w:val="22"/>
                <w:szCs w:val="22"/>
                <w:lang w:val="ru-RU" w:eastAsia="ru-RU"/>
              </w:rPr>
              <w:t>)</w:t>
            </w:r>
            <w:r w:rsidRPr="00A02DC5">
              <w:rPr>
                <w:sz w:val="22"/>
                <w:szCs w:val="22"/>
                <w:lang w:val="ru-RU" w:eastAsia="ru-RU"/>
              </w:rPr>
              <w:t>:</w:t>
            </w:r>
            <w:r w:rsidRPr="00A02DC5">
              <w:rPr>
                <w:rFonts w:eastAsiaTheme="minorHAnsi"/>
                <w:bCs/>
                <w:sz w:val="22"/>
                <w:szCs w:val="22"/>
                <w:lang w:val="ru-RU"/>
              </w:rPr>
              <w:t xml:space="preserve"> </w:t>
            </w:r>
            <w:r w:rsidR="00391FB7" w:rsidRPr="008F5AA8">
              <w:rPr>
                <w:rFonts w:eastAsia="Calibri"/>
                <w:b/>
                <w:i/>
                <w:sz w:val="22"/>
                <w:szCs w:val="22"/>
                <w:lang w:val="ru-RU"/>
              </w:rPr>
              <w:t>биржевые облигации с обеспечением неконвертируемые бездокументарные процентные серии 003Р-07, размещ</w:t>
            </w:r>
            <w:r w:rsidR="00391FB7" w:rsidRPr="00391FB7">
              <w:rPr>
                <w:rFonts w:eastAsia="Calibri"/>
                <w:b/>
                <w:i/>
                <w:sz w:val="22"/>
                <w:szCs w:val="22"/>
                <w:lang w:val="ru-RU"/>
              </w:rPr>
              <w:t>енные</w:t>
            </w:r>
            <w:r w:rsidR="00391FB7" w:rsidRPr="008F5AA8">
              <w:rPr>
                <w:rFonts w:eastAsia="Calibri"/>
                <w:b/>
                <w:i/>
                <w:sz w:val="22"/>
                <w:szCs w:val="22"/>
                <w:lang w:val="ru-RU"/>
              </w:rPr>
              <w:t xml:space="preserve"> в рамках Программы биржевых облигаций серии 003Р, имеющей регистрационный номер 4-36241-</w:t>
            </w:r>
            <w:r w:rsidR="00391FB7" w:rsidRPr="008F5AA8">
              <w:rPr>
                <w:rFonts w:eastAsia="Calibri"/>
                <w:b/>
                <w:i/>
                <w:sz w:val="22"/>
                <w:szCs w:val="22"/>
              </w:rPr>
              <w:t>R</w:t>
            </w:r>
            <w:r w:rsidR="00391FB7" w:rsidRPr="008F5AA8">
              <w:rPr>
                <w:rFonts w:eastAsia="Calibri"/>
                <w:b/>
                <w:i/>
                <w:sz w:val="22"/>
                <w:szCs w:val="22"/>
                <w:lang w:val="ru-RU"/>
              </w:rPr>
              <w:t>-003Р-02Е от 25.08.2023, регистрационный номер выпуска 4</w:t>
            </w:r>
            <w:r w:rsidR="00391FB7" w:rsidRPr="008F5AA8">
              <w:rPr>
                <w:rFonts w:eastAsia="Calibri"/>
                <w:b/>
                <w:i/>
                <w:sz w:val="22"/>
                <w:szCs w:val="22"/>
              </w:rPr>
              <w:t>B</w:t>
            </w:r>
            <w:r w:rsidR="00391FB7" w:rsidRPr="008F5AA8">
              <w:rPr>
                <w:rFonts w:eastAsia="Calibri"/>
                <w:b/>
                <w:i/>
                <w:sz w:val="22"/>
                <w:szCs w:val="22"/>
                <w:lang w:val="ru-RU"/>
              </w:rPr>
              <w:t>02-07-36241-</w:t>
            </w:r>
            <w:r w:rsidR="00391FB7" w:rsidRPr="008F5AA8">
              <w:rPr>
                <w:rFonts w:eastAsia="Calibri"/>
                <w:b/>
                <w:i/>
                <w:sz w:val="22"/>
                <w:szCs w:val="22"/>
              </w:rPr>
              <w:t>R</w:t>
            </w:r>
            <w:r w:rsidR="00391FB7" w:rsidRPr="008F5AA8">
              <w:rPr>
                <w:rFonts w:eastAsia="Calibri"/>
                <w:b/>
                <w:i/>
                <w:sz w:val="22"/>
                <w:szCs w:val="22"/>
                <w:lang w:val="ru-RU"/>
              </w:rPr>
              <w:t>-003</w:t>
            </w:r>
            <w:r w:rsidR="00391FB7" w:rsidRPr="008F5AA8">
              <w:rPr>
                <w:rFonts w:eastAsia="Calibri"/>
                <w:b/>
                <w:i/>
                <w:sz w:val="22"/>
                <w:szCs w:val="22"/>
              </w:rPr>
              <w:t>P</w:t>
            </w:r>
            <w:r w:rsidR="00391FB7" w:rsidRPr="008F5AA8">
              <w:rPr>
                <w:rFonts w:eastAsia="Calibri"/>
                <w:b/>
                <w:i/>
                <w:sz w:val="22"/>
                <w:szCs w:val="22"/>
                <w:lang w:val="ru-RU"/>
              </w:rPr>
              <w:t xml:space="preserve"> от 12.12.2024</w:t>
            </w:r>
            <w:r w:rsidR="00391FB7">
              <w:rPr>
                <w:rFonts w:eastAsia="Calibri"/>
                <w:b/>
                <w:i/>
                <w:sz w:val="22"/>
                <w:szCs w:val="22"/>
                <w:lang w:val="ru-RU"/>
              </w:rPr>
              <w:t xml:space="preserve"> (далее – Биржевые облигации)</w:t>
            </w:r>
            <w:r w:rsidR="00391FB7" w:rsidRPr="008F5AA8">
              <w:rPr>
                <w:rFonts w:eastAsia="Calibri"/>
                <w:b/>
                <w:i/>
                <w:sz w:val="22"/>
                <w:szCs w:val="22"/>
                <w:lang w:val="ru-RU"/>
              </w:rPr>
              <w:t>. Международный код (номер) идентификации ценных бумаг (</w:t>
            </w:r>
            <w:r w:rsidR="00391FB7" w:rsidRPr="008F5AA8">
              <w:rPr>
                <w:rFonts w:eastAsia="Calibri"/>
                <w:b/>
                <w:i/>
                <w:sz w:val="22"/>
                <w:szCs w:val="22"/>
              </w:rPr>
              <w:t>ISIN</w:t>
            </w:r>
            <w:r w:rsidR="00391FB7" w:rsidRPr="008F5AA8">
              <w:rPr>
                <w:rFonts w:eastAsia="Calibri"/>
                <w:b/>
                <w:i/>
                <w:sz w:val="22"/>
                <w:szCs w:val="22"/>
                <w:lang w:val="ru-RU"/>
              </w:rPr>
              <w:t>) RU000A10AHA3 и международный код классификации финансовых инструментов (</w:t>
            </w:r>
            <w:r w:rsidR="00391FB7" w:rsidRPr="008F5AA8">
              <w:rPr>
                <w:rFonts w:eastAsia="Calibri"/>
                <w:b/>
                <w:i/>
                <w:sz w:val="22"/>
                <w:szCs w:val="22"/>
              </w:rPr>
              <w:t>CFI</w:t>
            </w:r>
            <w:r w:rsidR="00391FB7" w:rsidRPr="008F5AA8">
              <w:rPr>
                <w:rFonts w:eastAsia="Calibri"/>
                <w:b/>
                <w:i/>
                <w:sz w:val="22"/>
                <w:szCs w:val="22"/>
                <w:lang w:val="ru-RU"/>
              </w:rPr>
              <w:t>) DBVGFB</w:t>
            </w:r>
          </w:p>
          <w:p w14:paraId="034BD9C0" w14:textId="346DF629" w:rsidR="00DD6858" w:rsidRPr="00391FB7" w:rsidRDefault="00D76FE3" w:rsidP="00A02DC5">
            <w:pPr>
              <w:tabs>
                <w:tab w:val="left" w:pos="885"/>
              </w:tabs>
              <w:autoSpaceDE w:val="0"/>
              <w:autoSpaceDN w:val="0"/>
              <w:adjustRightInd w:val="0"/>
              <w:spacing w:before="120"/>
              <w:ind w:left="57" w:right="57"/>
              <w:jc w:val="both"/>
              <w:rPr>
                <w:i/>
                <w:sz w:val="22"/>
                <w:szCs w:val="22"/>
                <w:lang w:val="ru-RU" w:eastAsia="ru-RU"/>
              </w:rPr>
            </w:pPr>
            <w:r w:rsidRPr="00A02DC5">
              <w:rPr>
                <w:sz w:val="22"/>
                <w:szCs w:val="22"/>
                <w:lang w:val="ru-RU" w:eastAsia="ru-RU"/>
              </w:rPr>
              <w:t>2.</w:t>
            </w:r>
            <w:r w:rsidR="00B5744C" w:rsidRPr="00A02DC5">
              <w:rPr>
                <w:sz w:val="22"/>
                <w:szCs w:val="22"/>
                <w:lang w:val="ru-RU" w:eastAsia="ru-RU"/>
              </w:rPr>
              <w:t>2</w:t>
            </w:r>
            <w:r w:rsidRPr="00A02DC5">
              <w:rPr>
                <w:sz w:val="22"/>
                <w:szCs w:val="22"/>
                <w:lang w:val="ru-RU" w:eastAsia="ru-RU"/>
              </w:rPr>
              <w:t>. К</w:t>
            </w:r>
            <w:r w:rsidR="00DD6858" w:rsidRPr="00A02DC5">
              <w:rPr>
                <w:sz w:val="22"/>
                <w:szCs w:val="22"/>
                <w:lang w:val="ru-RU" w:eastAsia="ru-RU"/>
              </w:rPr>
              <w:t>оличество приобретаемых эмитентом облигаций определенного выпуска, если обязанность приобретать облигации не предусмотре</w:t>
            </w:r>
            <w:r w:rsidRPr="00A02DC5">
              <w:rPr>
                <w:sz w:val="22"/>
                <w:szCs w:val="22"/>
                <w:lang w:val="ru-RU" w:eastAsia="ru-RU"/>
              </w:rPr>
              <w:t xml:space="preserve">на решением о выпуске облигаций: </w:t>
            </w:r>
            <w:r w:rsidRPr="00391FB7">
              <w:rPr>
                <w:b/>
                <w:i/>
                <w:sz w:val="22"/>
                <w:szCs w:val="22"/>
                <w:lang w:val="ru-RU" w:eastAsia="ru-RU"/>
              </w:rPr>
              <w:t xml:space="preserve">информация не указывается, т.к. обязанность приобретать Биржевые облигации </w:t>
            </w:r>
            <w:r w:rsidR="00AD7B22" w:rsidRPr="00391FB7">
              <w:rPr>
                <w:b/>
                <w:i/>
                <w:sz w:val="22"/>
                <w:szCs w:val="22"/>
                <w:lang w:val="ru-RU" w:eastAsia="ru-RU"/>
              </w:rPr>
              <w:t>предусмотрена р</w:t>
            </w:r>
            <w:r w:rsidRPr="00391FB7">
              <w:rPr>
                <w:b/>
                <w:i/>
                <w:sz w:val="22"/>
                <w:szCs w:val="22"/>
                <w:lang w:val="ru-RU" w:eastAsia="ru-RU"/>
              </w:rPr>
              <w:t xml:space="preserve">ешением о выпуске </w:t>
            </w:r>
            <w:r w:rsidR="00AD7B22" w:rsidRPr="00391FB7">
              <w:rPr>
                <w:b/>
                <w:i/>
                <w:sz w:val="22"/>
                <w:szCs w:val="22"/>
                <w:lang w:val="ru-RU" w:eastAsia="ru-RU"/>
              </w:rPr>
              <w:t>ценных бумаг</w:t>
            </w:r>
            <w:r w:rsidRPr="00391FB7">
              <w:rPr>
                <w:b/>
                <w:i/>
                <w:sz w:val="22"/>
                <w:szCs w:val="22"/>
                <w:lang w:val="ru-RU" w:eastAsia="ru-RU"/>
              </w:rPr>
              <w:t>.</w:t>
            </w:r>
          </w:p>
          <w:p w14:paraId="5902C6F9" w14:textId="63AE4A79" w:rsidR="00391FB7" w:rsidRPr="00391FB7" w:rsidRDefault="00D76FE3" w:rsidP="00A02DC5">
            <w:pPr>
              <w:adjustRightInd w:val="0"/>
              <w:spacing w:before="120"/>
              <w:ind w:left="57" w:right="57"/>
              <w:jc w:val="both"/>
              <w:rPr>
                <w:b/>
                <w:i/>
                <w:sz w:val="22"/>
                <w:szCs w:val="22"/>
                <w:lang w:val="ru-RU" w:eastAsia="ru-RU"/>
              </w:rPr>
            </w:pPr>
            <w:r w:rsidRPr="00A02DC5">
              <w:rPr>
                <w:sz w:val="22"/>
                <w:szCs w:val="22"/>
                <w:lang w:val="ru-RU" w:eastAsia="ru-RU"/>
              </w:rPr>
              <w:t>2.</w:t>
            </w:r>
            <w:r w:rsidR="00B5744C" w:rsidRPr="00A02DC5">
              <w:rPr>
                <w:sz w:val="22"/>
                <w:szCs w:val="22"/>
                <w:lang w:val="ru-RU" w:eastAsia="ru-RU"/>
              </w:rPr>
              <w:t>3</w:t>
            </w:r>
            <w:r w:rsidRPr="00A02DC5">
              <w:rPr>
                <w:sz w:val="22"/>
                <w:szCs w:val="22"/>
                <w:lang w:val="ru-RU" w:eastAsia="ru-RU"/>
              </w:rPr>
              <w:t>. Ц</w:t>
            </w:r>
            <w:r w:rsidR="00DD6858" w:rsidRPr="00A02DC5">
              <w:rPr>
                <w:sz w:val="22"/>
                <w:szCs w:val="22"/>
                <w:lang w:val="ru-RU" w:eastAsia="ru-RU"/>
              </w:rPr>
              <w:t>ена приобретения облиг</w:t>
            </w:r>
            <w:r w:rsidRPr="00A02DC5">
              <w:rPr>
                <w:sz w:val="22"/>
                <w:szCs w:val="22"/>
                <w:lang w:val="ru-RU" w:eastAsia="ru-RU"/>
              </w:rPr>
              <w:t>аций или порядок ее определения:</w:t>
            </w:r>
            <w:r w:rsidR="006A0F9C" w:rsidRPr="00A02DC5">
              <w:rPr>
                <w:sz w:val="22"/>
                <w:szCs w:val="22"/>
                <w:lang w:val="ru-RU" w:eastAsia="ru-RU"/>
              </w:rPr>
              <w:t xml:space="preserve"> </w:t>
            </w:r>
            <w:r w:rsidR="00391FB7" w:rsidRPr="00391FB7">
              <w:rPr>
                <w:b/>
                <w:i/>
                <w:sz w:val="22"/>
                <w:szCs w:val="22"/>
                <w:lang w:val="ru-RU" w:eastAsia="ru-RU"/>
              </w:rPr>
              <w:t xml:space="preserve">Цена приобретения Биржевых </w:t>
            </w:r>
            <w:r w:rsidR="00391FB7" w:rsidRPr="00D02A09">
              <w:rPr>
                <w:b/>
                <w:i/>
                <w:sz w:val="22"/>
                <w:szCs w:val="22"/>
                <w:lang w:val="ru-RU" w:eastAsia="ru-RU"/>
              </w:rPr>
              <w:t>облигаций определяется как 100 (Сто) процентов от непогашенной части номинальной стоимости Биржевых</w:t>
            </w:r>
            <w:r w:rsidR="00391FB7" w:rsidRPr="00391FB7">
              <w:rPr>
                <w:b/>
                <w:i/>
                <w:sz w:val="22"/>
                <w:szCs w:val="22"/>
                <w:lang w:val="ru-RU" w:eastAsia="ru-RU"/>
              </w:rPr>
              <w:t xml:space="preserve"> облигаций. При этом дополнительно выплачивается накопленный купонный доход, рассчитанный на Дату приобретения по требованию владельцев</w:t>
            </w:r>
            <w:r w:rsidR="00EC165B">
              <w:rPr>
                <w:b/>
                <w:i/>
                <w:sz w:val="22"/>
                <w:szCs w:val="22"/>
                <w:lang w:val="ru-RU" w:eastAsia="ru-RU"/>
              </w:rPr>
              <w:t>.</w:t>
            </w:r>
          </w:p>
          <w:p w14:paraId="046CA8F2" w14:textId="39613D1E" w:rsidR="00C17EE2" w:rsidRPr="00D02A09" w:rsidRDefault="001834A6" w:rsidP="00A02DC5">
            <w:pPr>
              <w:adjustRightInd w:val="0"/>
              <w:spacing w:before="120"/>
              <w:ind w:left="57" w:right="57"/>
              <w:jc w:val="both"/>
              <w:rPr>
                <w:b/>
                <w:i/>
                <w:sz w:val="22"/>
                <w:szCs w:val="22"/>
                <w:lang w:val="ru-RU" w:eastAsia="ru-RU"/>
              </w:rPr>
            </w:pPr>
            <w:r w:rsidRPr="00A02DC5">
              <w:rPr>
                <w:sz w:val="22"/>
                <w:szCs w:val="22"/>
                <w:lang w:val="ru-RU" w:eastAsia="ru-RU"/>
              </w:rPr>
              <w:t>2</w:t>
            </w:r>
            <w:r w:rsidR="00D76FE3" w:rsidRPr="00A02DC5">
              <w:rPr>
                <w:sz w:val="22"/>
                <w:szCs w:val="22"/>
                <w:lang w:val="ru-RU" w:eastAsia="ru-RU"/>
              </w:rPr>
              <w:t>.</w:t>
            </w:r>
            <w:r w:rsidR="00B5744C" w:rsidRPr="00A02DC5">
              <w:rPr>
                <w:sz w:val="22"/>
                <w:szCs w:val="22"/>
                <w:lang w:val="ru-RU" w:eastAsia="ru-RU"/>
              </w:rPr>
              <w:t>4</w:t>
            </w:r>
            <w:r w:rsidR="00D76FE3" w:rsidRPr="00A02DC5">
              <w:rPr>
                <w:sz w:val="22"/>
                <w:szCs w:val="22"/>
                <w:lang w:val="ru-RU" w:eastAsia="ru-RU"/>
              </w:rPr>
              <w:t>. С</w:t>
            </w:r>
            <w:r w:rsidR="00DD6858" w:rsidRPr="00A02DC5">
              <w:rPr>
                <w:sz w:val="22"/>
                <w:szCs w:val="22"/>
                <w:lang w:val="ru-RU" w:eastAsia="ru-RU"/>
              </w:rPr>
              <w:t>рок оплаты приобретаемых эмитентом облигаци</w:t>
            </w:r>
            <w:r w:rsidR="00D76FE3" w:rsidRPr="00A02DC5">
              <w:rPr>
                <w:sz w:val="22"/>
                <w:szCs w:val="22"/>
                <w:lang w:val="ru-RU" w:eastAsia="ru-RU"/>
              </w:rPr>
              <w:t>й:</w:t>
            </w:r>
            <w:r w:rsidR="008551A1" w:rsidRPr="00A02DC5">
              <w:rPr>
                <w:sz w:val="22"/>
                <w:szCs w:val="22"/>
                <w:lang w:val="ru-RU" w:eastAsia="ru-RU"/>
              </w:rPr>
              <w:t xml:space="preserve"> </w:t>
            </w:r>
            <w:r w:rsidR="00D02A09" w:rsidRPr="00D02A09">
              <w:rPr>
                <w:b/>
                <w:i/>
                <w:sz w:val="22"/>
                <w:szCs w:val="22"/>
                <w:lang w:val="ru-RU" w:eastAsia="ru-RU"/>
              </w:rPr>
              <w:t>Биржевые облигации приобретаются Эмитентом в дату, на которую приходится 3 (Третий) рабочий день с даты окончания Периода предъявления Биржевых облигаций к приобретению – 25.09.2025</w:t>
            </w:r>
          </w:p>
          <w:p w14:paraId="773C5100" w14:textId="02D4B38C" w:rsidR="00D02A09" w:rsidRPr="00D02A09" w:rsidRDefault="00D76FE3" w:rsidP="00A02DC5">
            <w:pPr>
              <w:adjustRightInd w:val="0"/>
              <w:spacing w:before="120"/>
              <w:ind w:left="57" w:right="57"/>
              <w:jc w:val="both"/>
              <w:rPr>
                <w:b/>
                <w:i/>
                <w:sz w:val="22"/>
                <w:szCs w:val="22"/>
                <w:lang w:val="ru-RU" w:eastAsia="ru-RU"/>
              </w:rPr>
            </w:pPr>
            <w:r w:rsidRPr="00C17EE2">
              <w:rPr>
                <w:sz w:val="22"/>
                <w:szCs w:val="22"/>
                <w:lang w:val="ru-RU" w:eastAsia="ru-RU"/>
              </w:rPr>
              <w:t>2.</w:t>
            </w:r>
            <w:r w:rsidR="00E2535B" w:rsidRPr="00C17EE2">
              <w:rPr>
                <w:sz w:val="22"/>
                <w:szCs w:val="22"/>
                <w:lang w:val="ru-RU" w:eastAsia="ru-RU"/>
              </w:rPr>
              <w:t>5</w:t>
            </w:r>
            <w:r w:rsidRPr="00C17EE2">
              <w:rPr>
                <w:sz w:val="22"/>
                <w:szCs w:val="22"/>
                <w:lang w:val="ru-RU" w:eastAsia="ru-RU"/>
              </w:rPr>
              <w:t>. О</w:t>
            </w:r>
            <w:r w:rsidR="00DD6858" w:rsidRPr="00C17EE2">
              <w:rPr>
                <w:sz w:val="22"/>
                <w:szCs w:val="22"/>
                <w:lang w:val="ru-RU" w:eastAsia="ru-RU"/>
              </w:rPr>
              <w:t>снование для приобретения эми</w:t>
            </w:r>
            <w:r w:rsidRPr="00C17EE2">
              <w:rPr>
                <w:sz w:val="22"/>
                <w:szCs w:val="22"/>
                <w:lang w:val="ru-RU" w:eastAsia="ru-RU"/>
              </w:rPr>
              <w:t>тентом размещенных им</w:t>
            </w:r>
            <w:r w:rsidRPr="00A02DC5">
              <w:rPr>
                <w:sz w:val="22"/>
                <w:szCs w:val="22"/>
                <w:lang w:val="ru-RU" w:eastAsia="ru-RU"/>
              </w:rPr>
              <w:t xml:space="preserve"> облигаций</w:t>
            </w:r>
            <w:proofErr w:type="gramStart"/>
            <w:r w:rsidRPr="00A02DC5">
              <w:rPr>
                <w:sz w:val="22"/>
                <w:szCs w:val="22"/>
                <w:lang w:val="ru-RU" w:eastAsia="ru-RU"/>
              </w:rPr>
              <w:t>:</w:t>
            </w:r>
            <w:r w:rsidR="006914D1">
              <w:rPr>
                <w:sz w:val="22"/>
                <w:szCs w:val="22"/>
                <w:lang w:val="ru-RU" w:eastAsia="ru-RU"/>
              </w:rPr>
              <w:t xml:space="preserve"> </w:t>
            </w:r>
            <w:r w:rsidR="00D02A09" w:rsidRPr="00D02A09">
              <w:rPr>
                <w:b/>
                <w:i/>
                <w:sz w:val="22"/>
                <w:szCs w:val="22"/>
                <w:lang w:val="ru-RU" w:eastAsia="ru-RU"/>
              </w:rPr>
              <w:t>В</w:t>
            </w:r>
            <w:r w:rsidR="00D02A09">
              <w:rPr>
                <w:b/>
                <w:i/>
                <w:sz w:val="22"/>
                <w:szCs w:val="22"/>
                <w:lang w:val="ru-RU" w:eastAsia="ru-RU"/>
              </w:rPr>
              <w:t xml:space="preserve"> </w:t>
            </w:r>
            <w:r w:rsidR="00D02A09" w:rsidRPr="00D02A09">
              <w:rPr>
                <w:b/>
                <w:i/>
                <w:sz w:val="22"/>
                <w:szCs w:val="22"/>
                <w:lang w:val="ru-RU" w:eastAsia="ru-RU"/>
              </w:rPr>
              <w:t>соответствии с</w:t>
            </w:r>
            <w:proofErr w:type="gramEnd"/>
            <w:r w:rsidR="00D02A09" w:rsidRPr="00D02A09">
              <w:rPr>
                <w:b/>
                <w:i/>
                <w:sz w:val="22"/>
                <w:szCs w:val="22"/>
                <w:lang w:val="ru-RU" w:eastAsia="ru-RU"/>
              </w:rPr>
              <w:t xml:space="preserve"> приказом Генерального директора №б/н от 24.12.2024 установлен размер процентной ставки купона по каждому купонному периоду Биржевых облигаций с 1 (первого) по 9 (девятый) включительно. Эмитент обязан приобрести размещенные им Биржевые облигации по требованиям, заявленным владельцами Биржевых облигаций в течение последних 5 (Пяти) рабочих дней 9-го купонного периода</w:t>
            </w:r>
            <w:r w:rsidR="00D02A09">
              <w:rPr>
                <w:b/>
                <w:i/>
                <w:sz w:val="22"/>
                <w:szCs w:val="22"/>
                <w:lang w:val="ru-RU" w:eastAsia="ru-RU"/>
              </w:rPr>
              <w:t xml:space="preserve"> </w:t>
            </w:r>
            <w:r w:rsidR="00D02A09">
              <w:rPr>
                <w:b/>
                <w:i/>
                <w:sz w:val="22"/>
                <w:szCs w:val="22"/>
                <w:lang w:val="ru-RU" w:eastAsia="ru-RU"/>
              </w:rPr>
              <w:t>(с 16.09.2025 по 22.09.2025)</w:t>
            </w:r>
            <w:r w:rsidR="00D02A09">
              <w:rPr>
                <w:b/>
                <w:i/>
                <w:sz w:val="22"/>
                <w:szCs w:val="22"/>
                <w:lang w:val="ru-RU" w:eastAsia="ru-RU"/>
              </w:rPr>
              <w:t xml:space="preserve"> </w:t>
            </w:r>
            <w:r w:rsidR="00D02A09" w:rsidRPr="00D02A09">
              <w:rPr>
                <w:b/>
                <w:i/>
                <w:sz w:val="22"/>
                <w:szCs w:val="22"/>
                <w:lang w:val="ru-RU" w:eastAsia="ru-RU"/>
              </w:rPr>
              <w:t>в порядке установленном в п.6.1 Решения о выпуске Биржевых облигаций</w:t>
            </w:r>
            <w:r w:rsidR="00D02A09">
              <w:rPr>
                <w:b/>
                <w:i/>
                <w:sz w:val="22"/>
                <w:szCs w:val="22"/>
                <w:lang w:val="ru-RU" w:eastAsia="ru-RU"/>
              </w:rPr>
              <w:t xml:space="preserve"> </w:t>
            </w:r>
          </w:p>
          <w:p w14:paraId="089136D5" w14:textId="04E5F4C0" w:rsidR="00D02A09" w:rsidRDefault="00D76FE3" w:rsidP="00D02A09">
            <w:pPr>
              <w:adjustRightInd w:val="0"/>
              <w:spacing w:before="120"/>
              <w:ind w:left="57" w:right="57"/>
              <w:jc w:val="both"/>
              <w:rPr>
                <w:color w:val="000000" w:themeColor="text1"/>
                <w:sz w:val="22"/>
                <w:szCs w:val="22"/>
                <w:lang w:val="ru-RU" w:eastAsia="ru-RU"/>
              </w:rPr>
            </w:pPr>
            <w:r w:rsidRPr="00A02DC5">
              <w:rPr>
                <w:color w:val="000000" w:themeColor="text1"/>
                <w:sz w:val="22"/>
                <w:szCs w:val="22"/>
                <w:lang w:val="ru-RU" w:eastAsia="ru-RU"/>
              </w:rPr>
              <w:t>2.</w:t>
            </w:r>
            <w:r w:rsidR="00E2535B">
              <w:rPr>
                <w:color w:val="000000" w:themeColor="text1"/>
                <w:sz w:val="22"/>
                <w:szCs w:val="22"/>
                <w:lang w:val="ru-RU" w:eastAsia="ru-RU"/>
              </w:rPr>
              <w:t>6</w:t>
            </w:r>
            <w:r w:rsidRPr="00A02DC5">
              <w:rPr>
                <w:color w:val="000000" w:themeColor="text1"/>
                <w:sz w:val="22"/>
                <w:szCs w:val="22"/>
                <w:lang w:val="ru-RU" w:eastAsia="ru-RU"/>
              </w:rPr>
              <w:t>. П</w:t>
            </w:r>
            <w:r w:rsidR="00DD6858" w:rsidRPr="00A02DC5">
              <w:rPr>
                <w:color w:val="000000" w:themeColor="text1"/>
                <w:sz w:val="22"/>
                <w:szCs w:val="22"/>
                <w:lang w:val="ru-RU" w:eastAsia="ru-RU"/>
              </w:rPr>
              <w:t>орядок и срок заявления владельцами облигаций требований о приобретении эмитентом принадлежащих им облигаций</w:t>
            </w:r>
            <w:r w:rsidRPr="00A02DC5">
              <w:rPr>
                <w:color w:val="000000" w:themeColor="text1"/>
                <w:sz w:val="22"/>
                <w:szCs w:val="22"/>
                <w:lang w:val="ru-RU" w:eastAsia="ru-RU"/>
              </w:rPr>
              <w:t>:</w:t>
            </w:r>
            <w:r w:rsidR="006A0F9C" w:rsidRPr="00A02DC5">
              <w:rPr>
                <w:color w:val="000000" w:themeColor="text1"/>
                <w:sz w:val="22"/>
                <w:szCs w:val="22"/>
                <w:lang w:val="ru-RU" w:eastAsia="ru-RU"/>
              </w:rPr>
              <w:t xml:space="preserve"> </w:t>
            </w:r>
          </w:p>
          <w:p w14:paraId="30B54C92" w14:textId="77777777" w:rsidR="00D02A09" w:rsidRPr="00D02A09" w:rsidRDefault="00D02A09" w:rsidP="007D35E9">
            <w:pPr>
              <w:spacing w:before="120"/>
              <w:ind w:left="57" w:right="57"/>
              <w:jc w:val="both"/>
              <w:rPr>
                <w:b/>
                <w:i/>
                <w:sz w:val="22"/>
                <w:szCs w:val="22"/>
                <w:lang w:val="ru-RU" w:eastAsia="ru-RU"/>
              </w:rPr>
            </w:pPr>
            <w:r w:rsidRPr="00D02A09">
              <w:rPr>
                <w:b/>
                <w:i/>
                <w:sz w:val="22"/>
                <w:szCs w:val="22"/>
                <w:lang w:val="ru-RU" w:eastAsia="ru-RU"/>
              </w:rPr>
              <w:t>Эмитент обязан приобретать размещенные им Биржевые облигации по требованиям, заявленным владельцами Биржевых облигаций в течение последних 5 (Пяти) рабочих дней купонного периода – с 16.09.2025 по 22.09.2025.</w:t>
            </w:r>
          </w:p>
          <w:p w14:paraId="4B92A6F4" w14:textId="0A38D6B8" w:rsidR="007D35E9" w:rsidRPr="007D35E9" w:rsidRDefault="000C5457" w:rsidP="00EC165B">
            <w:pPr>
              <w:spacing w:before="120"/>
              <w:ind w:left="57" w:right="57"/>
              <w:jc w:val="both"/>
              <w:rPr>
                <w:b/>
                <w:i/>
                <w:sz w:val="22"/>
                <w:szCs w:val="22"/>
                <w:u w:val="single"/>
                <w:lang w:val="ru-RU" w:eastAsia="ru-RU"/>
              </w:rPr>
            </w:pPr>
            <w:r w:rsidRPr="007D35E9">
              <w:rPr>
                <w:b/>
                <w:i/>
                <w:sz w:val="22"/>
                <w:szCs w:val="22"/>
                <w:u w:val="single"/>
                <w:lang w:val="ru-RU" w:eastAsia="ru-RU"/>
              </w:rPr>
              <w:t xml:space="preserve">Приобретение Биржевых облигаций </w:t>
            </w:r>
            <w:r w:rsidR="00EC165B">
              <w:rPr>
                <w:b/>
                <w:i/>
                <w:sz w:val="22"/>
                <w:szCs w:val="22"/>
                <w:u w:val="single"/>
                <w:lang w:val="ru-RU" w:eastAsia="ru-RU"/>
              </w:rPr>
              <w:t xml:space="preserve">осуществляется </w:t>
            </w:r>
            <w:r w:rsidRPr="007D35E9">
              <w:rPr>
                <w:b/>
                <w:i/>
                <w:sz w:val="22"/>
                <w:szCs w:val="22"/>
                <w:u w:val="single"/>
                <w:lang w:val="ru-RU" w:eastAsia="ru-RU"/>
              </w:rPr>
              <w:t>на биржевом рынке</w:t>
            </w:r>
            <w:r w:rsidR="007D35E9" w:rsidRPr="007D35E9">
              <w:rPr>
                <w:b/>
                <w:i/>
                <w:sz w:val="22"/>
                <w:szCs w:val="22"/>
                <w:u w:val="single"/>
                <w:lang w:val="ru-RU" w:eastAsia="ru-RU"/>
              </w:rPr>
              <w:t xml:space="preserve"> в соответствии с подпунктом Б) пункта 6.1</w:t>
            </w:r>
            <w:r w:rsidRPr="007D35E9">
              <w:rPr>
                <w:b/>
                <w:i/>
                <w:sz w:val="22"/>
                <w:szCs w:val="22"/>
                <w:u w:val="single"/>
                <w:lang w:val="ru-RU" w:eastAsia="ru-RU"/>
              </w:rPr>
              <w:t>.</w:t>
            </w:r>
            <w:r w:rsidR="007D35E9" w:rsidRPr="007D35E9">
              <w:rPr>
                <w:b/>
                <w:i/>
                <w:sz w:val="22"/>
                <w:szCs w:val="22"/>
                <w:u w:val="single"/>
                <w:lang w:val="ru-RU" w:eastAsia="ru-RU"/>
              </w:rPr>
              <w:t xml:space="preserve"> Решения о выпуске Биржевых облигаций.</w:t>
            </w:r>
            <w:r w:rsidRPr="007D35E9">
              <w:rPr>
                <w:b/>
                <w:i/>
                <w:sz w:val="22"/>
                <w:szCs w:val="22"/>
                <w:u w:val="single"/>
                <w:lang w:val="ru-RU" w:eastAsia="ru-RU"/>
              </w:rPr>
              <w:t xml:space="preserve"> </w:t>
            </w:r>
          </w:p>
          <w:p w14:paraId="7B426A61" w14:textId="77777777" w:rsidR="00EC165B" w:rsidRPr="00EC165B" w:rsidRDefault="00EC165B" w:rsidP="00EC165B">
            <w:pPr>
              <w:pStyle w:val="a4"/>
              <w:ind w:left="57" w:right="-224"/>
              <w:rPr>
                <w:b/>
                <w:i/>
                <w:sz w:val="22"/>
                <w:szCs w:val="22"/>
              </w:rPr>
            </w:pPr>
          </w:p>
          <w:p w14:paraId="18160279" w14:textId="581E9905" w:rsidR="00EC165B" w:rsidRPr="00EC165B" w:rsidRDefault="00EC165B" w:rsidP="00EC165B">
            <w:pPr>
              <w:pStyle w:val="a4"/>
              <w:ind w:left="57" w:right="-224"/>
              <w:rPr>
                <w:b/>
                <w:i/>
                <w:sz w:val="22"/>
                <w:szCs w:val="22"/>
              </w:rPr>
            </w:pPr>
            <w:r w:rsidRPr="00EC165B">
              <w:rPr>
                <w:b/>
                <w:i/>
                <w:sz w:val="22"/>
                <w:szCs w:val="22"/>
              </w:rPr>
              <w:t xml:space="preserve">Б) </w:t>
            </w:r>
            <w:bookmarkStart w:id="0" w:name="_Hlk207279944"/>
            <w:r w:rsidRPr="00EC165B">
              <w:rPr>
                <w:b/>
                <w:i/>
                <w:sz w:val="22"/>
                <w:szCs w:val="22"/>
              </w:rPr>
              <w:t>Приобретение Биржевых облигаций на биржевом рынке</w:t>
            </w:r>
            <w:r w:rsidR="00C734FF">
              <w:rPr>
                <w:b/>
                <w:i/>
                <w:sz w:val="22"/>
                <w:szCs w:val="22"/>
              </w:rPr>
              <w:t>.</w:t>
            </w:r>
            <w:bookmarkStart w:id="1" w:name="_GoBack"/>
            <w:bookmarkEnd w:id="1"/>
          </w:p>
          <w:bookmarkEnd w:id="0"/>
          <w:p w14:paraId="714543E2" w14:textId="6CE5EBC4" w:rsidR="000C5457" w:rsidRPr="007D35E9" w:rsidRDefault="000C5457" w:rsidP="00EC165B">
            <w:pPr>
              <w:spacing w:before="120"/>
              <w:ind w:left="57" w:right="57"/>
              <w:jc w:val="both"/>
              <w:rPr>
                <w:b/>
                <w:i/>
                <w:sz w:val="22"/>
                <w:szCs w:val="22"/>
                <w:lang w:val="ru-RU" w:eastAsia="ru-RU"/>
              </w:rPr>
            </w:pPr>
            <w:r w:rsidRPr="007D35E9">
              <w:rPr>
                <w:b/>
                <w:i/>
                <w:sz w:val="22"/>
                <w:szCs w:val="22"/>
                <w:lang w:val="ru-RU" w:eastAsia="ru-RU"/>
              </w:rPr>
              <w:t xml:space="preserve">Приобретение Эмитентом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w:t>
            </w:r>
            <w:r w:rsidRPr="007D35E9">
              <w:rPr>
                <w:b/>
                <w:i/>
                <w:sz w:val="22"/>
                <w:szCs w:val="22"/>
                <w:lang w:val="ru-RU" w:eastAsia="ru-RU"/>
              </w:rPr>
              <w:lastRenderedPageBreak/>
              <w:t xml:space="preserve">соответствии с правилами проведения торгов Биржи, зарегистрированными в установленном порядке и действующими на дату проведения торгов. В случае, если владелец Биржевых облигаций не является участником организованных торгов Биржи, он должен заключить соответствующий договор с любым участником организованных торгов, и дать ему поручение на продажу Биржевых облигаций Эмитенту (далее – «Агент по продаже»). Владелец Биржевых облигаций, являющийся участником организованных торгов, вправе действовать самостоятельно. </w:t>
            </w:r>
          </w:p>
          <w:p w14:paraId="094A2187" w14:textId="69FC6028" w:rsidR="000C5457" w:rsidRDefault="000C5457" w:rsidP="000C5457">
            <w:pPr>
              <w:spacing w:before="120"/>
              <w:ind w:left="57" w:right="57"/>
              <w:jc w:val="both"/>
              <w:rPr>
                <w:b/>
                <w:i/>
                <w:sz w:val="22"/>
                <w:szCs w:val="22"/>
                <w:lang w:val="ru-RU" w:eastAsia="ru-RU"/>
              </w:rPr>
            </w:pPr>
            <w:r w:rsidRPr="007D35E9">
              <w:rPr>
                <w:b/>
                <w:i/>
                <w:sz w:val="22"/>
                <w:szCs w:val="22"/>
                <w:lang w:val="ru-RU" w:eastAsia="ru-RU"/>
              </w:rPr>
              <w:t>Эмитент действует с привлечением участника организованных торгов, уполномоченного Эмитентом на приобретение Биржевых облигаций (далее – «Агент по приобретению»)</w:t>
            </w:r>
            <w:r w:rsidR="007D35E9">
              <w:rPr>
                <w:b/>
                <w:i/>
                <w:sz w:val="22"/>
                <w:szCs w:val="22"/>
                <w:lang w:val="ru-RU" w:eastAsia="ru-RU"/>
              </w:rPr>
              <w:t>.</w:t>
            </w:r>
          </w:p>
          <w:p w14:paraId="17497EEF" w14:textId="7997534A" w:rsidR="007D35E9" w:rsidRPr="007D35E9" w:rsidRDefault="007D35E9" w:rsidP="007D35E9">
            <w:pPr>
              <w:adjustRightInd w:val="0"/>
              <w:spacing w:before="120"/>
              <w:ind w:left="57" w:right="57"/>
              <w:jc w:val="both"/>
              <w:rPr>
                <w:b/>
                <w:i/>
                <w:sz w:val="22"/>
                <w:szCs w:val="22"/>
                <w:lang w:val="ru-RU" w:eastAsia="ru-RU"/>
              </w:rPr>
            </w:pPr>
            <w:r w:rsidRPr="007D35E9">
              <w:rPr>
                <w:b/>
                <w:i/>
                <w:sz w:val="22"/>
                <w:szCs w:val="22"/>
                <w:lang w:val="ru-RU" w:eastAsia="ru-RU"/>
              </w:rPr>
              <w:t xml:space="preserve">Агентом по приобретению является Акционерное общество Банк Синара, ОГРН 1026600000460, ИНН 6608003052, лицензия на осуществление брокерской деятельности № 065-08840-100000 от 12.01.2006г., лицензия на осуществление дилерской деятельности № 065-08844-010000 от 12.01.2006 г., почтовый адрес для передачи Уведомлений: 105064, г. Москва, Земляной Вал, дом 9, БЦ СИТИДЕЛ (контактный телефон для передачи корреспонденции +7 495 771 70 95, доб. 65683), электронная почта </w:t>
            </w:r>
            <w:hyperlink r:id="rId6" w:history="1">
              <w:r w:rsidRPr="007D35E9">
                <w:rPr>
                  <w:b/>
                  <w:i/>
                  <w:sz w:val="22"/>
                  <w:szCs w:val="22"/>
                  <w:lang w:val="ru-RU" w:eastAsia="ru-RU"/>
                </w:rPr>
                <w:t>DCM@sinara-finance.ru</w:t>
              </w:r>
            </w:hyperlink>
            <w:r w:rsidRPr="007D35E9">
              <w:rPr>
                <w:b/>
                <w:i/>
                <w:sz w:val="22"/>
                <w:szCs w:val="22"/>
                <w:lang w:val="ru-RU" w:eastAsia="ru-RU"/>
              </w:rPr>
              <w:t>.</w:t>
            </w:r>
          </w:p>
          <w:p w14:paraId="7BF4E539"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В течение Периода предъявления Биржевых облигаций к приобретению (далее – Период сбора заявок)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w:t>
            </w:r>
          </w:p>
          <w:p w14:paraId="7D0AA9D9"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Датой активации адресных заявок на продажу Биржевых облигаций является Дата приобретения по требованию владельцев. </w:t>
            </w:r>
          </w:p>
          <w:p w14:paraId="1D22EAA3"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Заявка на продажу Биржевых облигаций должна содержать следующие значимые условия: </w:t>
            </w:r>
          </w:p>
          <w:p w14:paraId="5F902BFB"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 цена приобретения (установленная в соответствии с Решением о выпуске); </w:t>
            </w:r>
          </w:p>
          <w:p w14:paraId="38F421F0"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 количество Биржевых облигаций, приобретения которых требует их владелец; </w:t>
            </w:r>
          </w:p>
          <w:p w14:paraId="08C6C14B"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 код расчетов, используемый при заключении сделки с ценными бумагами; </w:t>
            </w:r>
          </w:p>
          <w:p w14:paraId="4BF20A33"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xml:space="preserve">• Дата активации (как она определена выше); </w:t>
            </w:r>
          </w:p>
          <w:p w14:paraId="1F7E29F6" w14:textId="77777777" w:rsidR="000C5457" w:rsidRPr="007D35E9" w:rsidRDefault="000C5457" w:rsidP="000C5457">
            <w:pPr>
              <w:spacing w:before="120"/>
              <w:ind w:left="57" w:right="57"/>
              <w:jc w:val="both"/>
              <w:rPr>
                <w:b/>
                <w:i/>
                <w:sz w:val="22"/>
                <w:szCs w:val="22"/>
                <w:lang w:val="ru-RU" w:eastAsia="ru-RU"/>
              </w:rPr>
            </w:pPr>
            <w:r w:rsidRPr="007D35E9">
              <w:rPr>
                <w:b/>
                <w:i/>
                <w:sz w:val="22"/>
                <w:szCs w:val="22"/>
                <w:lang w:val="ru-RU" w:eastAsia="ru-RU"/>
              </w:rPr>
              <w:t>• прочие параметры в соответствии с правилами проведения торгов Биржи. Заявки, не соответствующие изложенным выше требованиям, не принимаются.</w:t>
            </w:r>
          </w:p>
          <w:p w14:paraId="04EB2420" w14:textId="461C7744" w:rsidR="00D02A09" w:rsidRPr="007D35E9" w:rsidRDefault="000C5457" w:rsidP="000C5457">
            <w:pPr>
              <w:adjustRightInd w:val="0"/>
              <w:spacing w:before="120"/>
              <w:ind w:left="57" w:right="57"/>
              <w:jc w:val="both"/>
              <w:rPr>
                <w:b/>
                <w:i/>
                <w:sz w:val="22"/>
                <w:szCs w:val="22"/>
                <w:lang w:val="ru-RU" w:eastAsia="ru-RU"/>
              </w:rPr>
            </w:pPr>
            <w:r w:rsidRPr="007D35E9">
              <w:rPr>
                <w:b/>
                <w:i/>
                <w:sz w:val="22"/>
                <w:szCs w:val="22"/>
                <w:lang w:val="ru-RU" w:eastAsia="ru-RU"/>
              </w:rPr>
              <w:t>Биржа после окончания Периода сбора заявок составляет сводный реестр заявок на продажу Биржевых облигаций (далее - «Сводный реестр заявок») и передает его Агенту по приобретению. Агент по приобретению обеспечивает Эмитенту доступ к информации, содержащейся в Сводном реестре заявок. Сводный реестр заявок содержит все значимые условия каждой заявки – цену приобретения, количество Биржевых облигаций, приобретения которых требует их владелец, дату и время поступления заявки, номер заявки, а также иные реквизиты в соответствии с правилами проведения торгов Биржи.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Биржевых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Эмитент через Агента по приобретению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w:t>
            </w:r>
          </w:p>
          <w:p w14:paraId="58965F5A" w14:textId="6714EA04" w:rsidR="00D02A09" w:rsidRPr="007D35E9" w:rsidRDefault="007D35E9" w:rsidP="00D02A09">
            <w:pPr>
              <w:adjustRightInd w:val="0"/>
              <w:spacing w:before="120"/>
              <w:ind w:left="57" w:right="57"/>
              <w:jc w:val="both"/>
              <w:rPr>
                <w:b/>
                <w:i/>
                <w:sz w:val="22"/>
                <w:szCs w:val="22"/>
                <w:lang w:val="ru-RU" w:eastAsia="ru-RU"/>
              </w:rPr>
            </w:pPr>
            <w:r w:rsidRPr="007D35E9">
              <w:rPr>
                <w:b/>
                <w:i/>
                <w:sz w:val="22"/>
                <w:szCs w:val="22"/>
                <w:lang w:val="ru-RU" w:eastAsia="ru-RU"/>
              </w:rPr>
              <w:t xml:space="preserve">В случае, если Биржевые облигации не обращаются на торгах Биржи, требование к Эмитенту о приобретении Биржевых облигаций может быть направлено Эмитенту и приобретение Биржевых облигаций может быть осуществлено Эмитентом только в порядке, предусмотренном подпунктом А) </w:t>
            </w:r>
            <w:r w:rsidRPr="007D35E9">
              <w:rPr>
                <w:b/>
                <w:i/>
                <w:sz w:val="22"/>
                <w:szCs w:val="22"/>
                <w:lang w:val="ru-RU" w:eastAsia="ru-RU"/>
              </w:rPr>
              <w:t>пункта 6.1. Решения о выпуске Биржевых облигаций</w:t>
            </w:r>
            <w:r w:rsidRPr="007D35E9">
              <w:rPr>
                <w:b/>
                <w:i/>
                <w:sz w:val="22"/>
                <w:szCs w:val="22"/>
                <w:lang w:val="ru-RU" w:eastAsia="ru-RU"/>
              </w:rPr>
              <w:t>.</w:t>
            </w:r>
          </w:p>
          <w:p w14:paraId="0381A744" w14:textId="77777777" w:rsidR="007D35E9" w:rsidRPr="007D35E9" w:rsidRDefault="007D35E9" w:rsidP="007D35E9">
            <w:pPr>
              <w:spacing w:before="120"/>
              <w:ind w:left="57" w:right="57"/>
              <w:jc w:val="both"/>
              <w:rPr>
                <w:b/>
                <w:i/>
                <w:sz w:val="22"/>
                <w:szCs w:val="22"/>
                <w:lang w:val="ru-RU" w:eastAsia="ru-RU"/>
              </w:rPr>
            </w:pPr>
            <w:r w:rsidRPr="007D35E9">
              <w:rPr>
                <w:b/>
                <w:i/>
                <w:sz w:val="22"/>
                <w:szCs w:val="22"/>
                <w:lang w:val="ru-RU" w:eastAsia="ru-RU"/>
              </w:rPr>
              <w:t xml:space="preserve">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Закона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w:t>
            </w:r>
            <w:r w:rsidRPr="007D35E9">
              <w:rPr>
                <w:b/>
                <w:i/>
                <w:sz w:val="22"/>
                <w:szCs w:val="22"/>
                <w:lang w:val="ru-RU" w:eastAsia="ru-RU"/>
              </w:rPr>
              <w:lastRenderedPageBreak/>
              <w:t xml:space="preserve">поручения владельца вносят запись об установлении этого ограничения по счету, на котором учитываются его права на Биржевые облигации. </w:t>
            </w:r>
          </w:p>
          <w:p w14:paraId="286291C4" w14:textId="475D14FD" w:rsidR="007D35E9" w:rsidRPr="007D35E9" w:rsidRDefault="007D35E9" w:rsidP="007D35E9">
            <w:pPr>
              <w:adjustRightInd w:val="0"/>
              <w:spacing w:before="120"/>
              <w:ind w:left="57" w:right="57"/>
              <w:jc w:val="both"/>
              <w:rPr>
                <w:b/>
                <w:i/>
                <w:sz w:val="22"/>
                <w:szCs w:val="22"/>
                <w:lang w:val="ru-RU" w:eastAsia="ru-RU"/>
              </w:rPr>
            </w:pPr>
            <w:r w:rsidRPr="007D35E9">
              <w:rPr>
                <w:b/>
                <w:i/>
                <w:sz w:val="22"/>
                <w:szCs w:val="22"/>
                <w:lang w:val="ru-RU" w:eastAsia="ru-RU"/>
              </w:rPr>
              <w:t>Биржевые облигации приобретаются в этом случае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во исполнение обязательств по заявленным, в порядке, предусмотренном статьей 17.3 Закона о рынке ценных бумаг, требованиям о приобретении</w:t>
            </w:r>
            <w:r>
              <w:rPr>
                <w:b/>
                <w:i/>
                <w:sz w:val="22"/>
                <w:szCs w:val="22"/>
                <w:lang w:val="ru-RU" w:eastAsia="ru-RU"/>
              </w:rPr>
              <w:t>.</w:t>
            </w:r>
          </w:p>
          <w:p w14:paraId="2E772B14" w14:textId="66A94C7C" w:rsidR="00CF5C11" w:rsidRPr="00A02DC5" w:rsidRDefault="00CF5C11" w:rsidP="007D35E9">
            <w:pPr>
              <w:adjustRightInd w:val="0"/>
              <w:spacing w:before="120"/>
              <w:ind w:right="57"/>
              <w:jc w:val="both"/>
              <w:rPr>
                <w:sz w:val="22"/>
                <w:szCs w:val="22"/>
                <w:lang w:val="ru-RU" w:eastAsia="ru-RU"/>
              </w:rPr>
            </w:pPr>
          </w:p>
        </w:tc>
      </w:tr>
    </w:tbl>
    <w:p w14:paraId="50D20999" w14:textId="77777777" w:rsidR="006C105A" w:rsidRPr="00A02DC5" w:rsidRDefault="006C105A" w:rsidP="006C105A">
      <w:pPr>
        <w:pStyle w:val="prilozhenie"/>
        <w:ind w:firstLine="0"/>
        <w:rPr>
          <w:sz w:val="22"/>
          <w:szCs w:val="22"/>
        </w:rPr>
      </w:pPr>
    </w:p>
    <w:tbl>
      <w:tblPr>
        <w:tblW w:w="10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EC165B" w:rsidRPr="00FF7DF6" w14:paraId="7B9624A8" w14:textId="77777777" w:rsidTr="00EC165B">
        <w:tc>
          <w:tcPr>
            <w:tcW w:w="10377" w:type="dxa"/>
            <w:tcBorders>
              <w:top w:val="single" w:sz="4" w:space="0" w:color="auto"/>
              <w:left w:val="single" w:sz="4" w:space="0" w:color="auto"/>
              <w:bottom w:val="single" w:sz="4" w:space="0" w:color="auto"/>
              <w:right w:val="single" w:sz="4" w:space="0" w:color="auto"/>
            </w:tcBorders>
            <w:shd w:val="clear" w:color="auto" w:fill="auto"/>
            <w:hideMark/>
          </w:tcPr>
          <w:p w14:paraId="00A6018D" w14:textId="77777777" w:rsidR="00EC165B" w:rsidRPr="00FF7DF6" w:rsidRDefault="00EC165B" w:rsidP="0020558D">
            <w:pPr>
              <w:jc w:val="center"/>
              <w:rPr>
                <w:rFonts w:eastAsia="Calibri"/>
                <w:sz w:val="22"/>
                <w:szCs w:val="22"/>
              </w:rPr>
            </w:pPr>
            <w:r w:rsidRPr="00FF7DF6">
              <w:rPr>
                <w:rFonts w:eastAsia="Calibri"/>
                <w:sz w:val="22"/>
                <w:szCs w:val="22"/>
              </w:rPr>
              <w:t xml:space="preserve">3. </w:t>
            </w:r>
            <w:proofErr w:type="spellStart"/>
            <w:r w:rsidRPr="00FF7DF6">
              <w:rPr>
                <w:rFonts w:eastAsia="Calibri"/>
                <w:sz w:val="22"/>
                <w:szCs w:val="22"/>
              </w:rPr>
              <w:t>Подпись</w:t>
            </w:r>
            <w:proofErr w:type="spellEnd"/>
          </w:p>
        </w:tc>
      </w:tr>
      <w:tr w:rsidR="00EC165B" w:rsidRPr="00FF7DF6" w14:paraId="14F8313A" w14:textId="77777777" w:rsidTr="00EC165B">
        <w:tc>
          <w:tcPr>
            <w:tcW w:w="10377" w:type="dxa"/>
            <w:tcBorders>
              <w:top w:val="single" w:sz="4" w:space="0" w:color="auto"/>
              <w:left w:val="single" w:sz="4" w:space="0" w:color="auto"/>
              <w:bottom w:val="single" w:sz="4" w:space="0" w:color="auto"/>
              <w:right w:val="single" w:sz="4" w:space="0" w:color="auto"/>
            </w:tcBorders>
            <w:shd w:val="clear" w:color="auto" w:fill="auto"/>
            <w:hideMark/>
          </w:tcPr>
          <w:p w14:paraId="4A094834" w14:textId="77777777" w:rsidR="00EC165B" w:rsidRPr="00EC165B" w:rsidRDefault="00EC165B" w:rsidP="0020558D">
            <w:pPr>
              <w:rPr>
                <w:rFonts w:eastAsia="MS Mincho"/>
                <w:bCs/>
                <w:i/>
                <w:iCs/>
                <w:sz w:val="22"/>
                <w:szCs w:val="22"/>
                <w:lang w:val="ru-RU"/>
              </w:rPr>
            </w:pPr>
            <w:r w:rsidRPr="00EC165B">
              <w:rPr>
                <w:rFonts w:eastAsia="Calibri"/>
                <w:sz w:val="22"/>
                <w:szCs w:val="22"/>
                <w:lang w:val="ru-RU"/>
              </w:rPr>
              <w:t xml:space="preserve">3.1.  Генеральный директор                                         __________________                            </w:t>
            </w:r>
            <w:r w:rsidRPr="00EC165B">
              <w:rPr>
                <w:sz w:val="22"/>
                <w:szCs w:val="22"/>
                <w:lang w:val="ru-RU"/>
              </w:rPr>
              <w:t>Н.Л. Щеголеватых</w:t>
            </w:r>
          </w:p>
          <w:p w14:paraId="6123CBFB" w14:textId="77777777" w:rsidR="00EC165B" w:rsidRPr="00EC165B" w:rsidRDefault="00EC165B" w:rsidP="0020558D">
            <w:pPr>
              <w:jc w:val="center"/>
              <w:rPr>
                <w:rFonts w:eastAsia="Calibri"/>
                <w:sz w:val="22"/>
                <w:szCs w:val="22"/>
                <w:lang w:val="ru-RU"/>
              </w:rPr>
            </w:pPr>
            <w:r w:rsidRPr="00EC165B">
              <w:rPr>
                <w:rFonts w:eastAsia="Calibri"/>
                <w:sz w:val="22"/>
                <w:szCs w:val="22"/>
                <w:lang w:val="ru-RU"/>
              </w:rPr>
              <w:t xml:space="preserve">                                                                                                          (подпись)</w:t>
            </w:r>
          </w:p>
          <w:p w14:paraId="355534E6" w14:textId="77777777" w:rsidR="00EC165B" w:rsidRPr="00EC165B" w:rsidRDefault="00EC165B" w:rsidP="0020558D">
            <w:pPr>
              <w:jc w:val="center"/>
              <w:rPr>
                <w:rFonts w:eastAsia="Calibri"/>
                <w:sz w:val="22"/>
                <w:szCs w:val="22"/>
                <w:lang w:val="ru-RU"/>
              </w:rPr>
            </w:pPr>
          </w:p>
          <w:p w14:paraId="20DB37CB" w14:textId="3FF0EC84" w:rsidR="00EC165B" w:rsidRPr="00FF7DF6" w:rsidRDefault="00EC165B" w:rsidP="0020558D">
            <w:pPr>
              <w:rPr>
                <w:rFonts w:eastAsia="Calibri"/>
                <w:sz w:val="22"/>
                <w:szCs w:val="22"/>
              </w:rPr>
            </w:pPr>
            <w:r w:rsidRPr="00FF7DF6">
              <w:rPr>
                <w:rFonts w:eastAsia="Calibri"/>
                <w:sz w:val="22"/>
                <w:szCs w:val="22"/>
              </w:rPr>
              <w:t xml:space="preserve">3.2. </w:t>
            </w:r>
            <w:proofErr w:type="spellStart"/>
            <w:r w:rsidRPr="009D0C8D">
              <w:rPr>
                <w:rFonts w:eastAsia="Calibri"/>
                <w:sz w:val="22"/>
                <w:szCs w:val="22"/>
              </w:rPr>
              <w:t>Дата</w:t>
            </w:r>
            <w:proofErr w:type="spellEnd"/>
            <w:r w:rsidRPr="009D0C8D">
              <w:rPr>
                <w:rFonts w:eastAsia="Calibri"/>
                <w:sz w:val="22"/>
                <w:szCs w:val="22"/>
              </w:rPr>
              <w:t xml:space="preserve"> «</w:t>
            </w:r>
            <w:r>
              <w:rPr>
                <w:rFonts w:eastAsia="Calibri"/>
                <w:sz w:val="22"/>
                <w:szCs w:val="22"/>
              </w:rPr>
              <w:t>0</w:t>
            </w:r>
            <w:r>
              <w:rPr>
                <w:rFonts w:eastAsia="Calibri"/>
                <w:sz w:val="22"/>
                <w:szCs w:val="22"/>
                <w:lang w:val="ru-RU"/>
              </w:rPr>
              <w:t>2</w:t>
            </w:r>
            <w:r w:rsidRPr="009D0C8D">
              <w:rPr>
                <w:rFonts w:eastAsia="Calibri"/>
                <w:sz w:val="22"/>
                <w:szCs w:val="22"/>
              </w:rPr>
              <w:t xml:space="preserve">» </w:t>
            </w:r>
            <w:proofErr w:type="spellStart"/>
            <w:r>
              <w:rPr>
                <w:rFonts w:eastAsia="Calibri"/>
                <w:sz w:val="22"/>
                <w:szCs w:val="22"/>
              </w:rPr>
              <w:t>сентября</w:t>
            </w:r>
            <w:proofErr w:type="spellEnd"/>
            <w:r w:rsidRPr="009D0C8D">
              <w:rPr>
                <w:rFonts w:eastAsia="Calibri"/>
                <w:sz w:val="22"/>
                <w:szCs w:val="22"/>
              </w:rPr>
              <w:t xml:space="preserve"> 2025</w:t>
            </w:r>
            <w:r w:rsidRPr="00FF7DF6">
              <w:rPr>
                <w:rFonts w:eastAsia="Calibri"/>
                <w:sz w:val="22"/>
                <w:szCs w:val="22"/>
              </w:rPr>
              <w:t xml:space="preserve"> г.                                                                     </w:t>
            </w:r>
          </w:p>
        </w:tc>
      </w:tr>
    </w:tbl>
    <w:p w14:paraId="420E54E1" w14:textId="77777777" w:rsidR="00F06F8A" w:rsidRPr="007512B9" w:rsidRDefault="00F06F8A" w:rsidP="0091155E">
      <w:pPr>
        <w:rPr>
          <w:sz w:val="22"/>
          <w:szCs w:val="22"/>
          <w:lang w:val="ru-RU"/>
        </w:rPr>
      </w:pPr>
    </w:p>
    <w:sectPr w:rsidR="00F06F8A" w:rsidRPr="007512B9"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AD23D82"/>
    <w:multiLevelType w:val="hybridMultilevel"/>
    <w:tmpl w:val="AC08211E"/>
    <w:lvl w:ilvl="0" w:tplc="A51A5F2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0BD061BA"/>
    <w:multiLevelType w:val="hybridMultilevel"/>
    <w:tmpl w:val="F93C0E96"/>
    <w:lvl w:ilvl="0" w:tplc="FEC08F18">
      <w:numFmt w:val="bullet"/>
      <w:lvlText w:val="•"/>
      <w:lvlJc w:val="left"/>
      <w:pPr>
        <w:ind w:left="702" w:hanging="645"/>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6"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7"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BF021D"/>
    <w:multiLevelType w:val="hybridMultilevel"/>
    <w:tmpl w:val="68B8DDB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3"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8"/>
  </w:num>
  <w:num w:numId="2">
    <w:abstractNumId w:val="33"/>
  </w:num>
  <w:num w:numId="3">
    <w:abstractNumId w:val="39"/>
  </w:num>
  <w:num w:numId="4">
    <w:abstractNumId w:val="20"/>
  </w:num>
  <w:num w:numId="5">
    <w:abstractNumId w:val="22"/>
  </w:num>
  <w:num w:numId="6">
    <w:abstractNumId w:val="30"/>
  </w:num>
  <w:num w:numId="7">
    <w:abstractNumId w:val="37"/>
  </w:num>
  <w:num w:numId="8">
    <w:abstractNumId w:val="43"/>
  </w:num>
  <w:num w:numId="9">
    <w:abstractNumId w:val="15"/>
  </w:num>
  <w:num w:numId="10">
    <w:abstractNumId w:val="31"/>
  </w:num>
  <w:num w:numId="11">
    <w:abstractNumId w:val="38"/>
  </w:num>
  <w:num w:numId="12">
    <w:abstractNumId w:val="8"/>
  </w:num>
  <w:num w:numId="13">
    <w:abstractNumId w:val="9"/>
  </w:num>
  <w:num w:numId="14">
    <w:abstractNumId w:val="16"/>
  </w:num>
  <w:num w:numId="15">
    <w:abstractNumId w:val="25"/>
  </w:num>
  <w:num w:numId="16">
    <w:abstractNumId w:val="41"/>
  </w:num>
  <w:num w:numId="17">
    <w:abstractNumId w:val="2"/>
  </w:num>
  <w:num w:numId="18">
    <w:abstractNumId w:val="21"/>
  </w:num>
  <w:num w:numId="19">
    <w:abstractNumId w:val="42"/>
  </w:num>
  <w:num w:numId="20">
    <w:abstractNumId w:val="6"/>
  </w:num>
  <w:num w:numId="21">
    <w:abstractNumId w:val="35"/>
  </w:num>
  <w:num w:numId="22">
    <w:abstractNumId w:val="29"/>
  </w:num>
  <w:num w:numId="23">
    <w:abstractNumId w:val="44"/>
  </w:num>
  <w:num w:numId="24">
    <w:abstractNumId w:val="34"/>
  </w:num>
  <w:num w:numId="25">
    <w:abstractNumId w:val="32"/>
  </w:num>
  <w:num w:numId="26">
    <w:abstractNumId w:val="3"/>
  </w:num>
  <w:num w:numId="27">
    <w:abstractNumId w:val="17"/>
  </w:num>
  <w:num w:numId="28">
    <w:abstractNumId w:val="26"/>
  </w:num>
  <w:num w:numId="29">
    <w:abstractNumId w:val="36"/>
  </w:num>
  <w:num w:numId="30">
    <w:abstractNumId w:val="0"/>
  </w:num>
  <w:num w:numId="31">
    <w:abstractNumId w:val="19"/>
  </w:num>
  <w:num w:numId="32">
    <w:abstractNumId w:val="7"/>
  </w:num>
  <w:num w:numId="33">
    <w:abstractNumId w:val="12"/>
  </w:num>
  <w:num w:numId="34">
    <w:abstractNumId w:val="27"/>
  </w:num>
  <w:num w:numId="35">
    <w:abstractNumId w:val="28"/>
  </w:num>
  <w:num w:numId="36">
    <w:abstractNumId w:val="13"/>
  </w:num>
  <w:num w:numId="37">
    <w:abstractNumId w:val="24"/>
  </w:num>
  <w:num w:numId="38">
    <w:abstractNumId w:val="14"/>
  </w:num>
  <w:num w:numId="39">
    <w:abstractNumId w:val="10"/>
  </w:num>
  <w:num w:numId="40">
    <w:abstractNumId w:val="11"/>
  </w:num>
  <w:num w:numId="41">
    <w:abstractNumId w:val="23"/>
  </w:num>
  <w:num w:numId="42">
    <w:abstractNumId w:val="1"/>
  </w:num>
  <w:num w:numId="43">
    <w:abstractNumId w:val="40"/>
  </w:num>
  <w:num w:numId="44">
    <w:abstractNumId w:val="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34A3"/>
    <w:rsid w:val="00007E3A"/>
    <w:rsid w:val="00017620"/>
    <w:rsid w:val="000234D7"/>
    <w:rsid w:val="000255CC"/>
    <w:rsid w:val="00026879"/>
    <w:rsid w:val="00026CBF"/>
    <w:rsid w:val="00033787"/>
    <w:rsid w:val="00034A62"/>
    <w:rsid w:val="0004344D"/>
    <w:rsid w:val="000470CB"/>
    <w:rsid w:val="00047536"/>
    <w:rsid w:val="00060F9E"/>
    <w:rsid w:val="000615D5"/>
    <w:rsid w:val="00061CFB"/>
    <w:rsid w:val="00061D01"/>
    <w:rsid w:val="000746E3"/>
    <w:rsid w:val="0008444B"/>
    <w:rsid w:val="00087F74"/>
    <w:rsid w:val="000A6DA9"/>
    <w:rsid w:val="000A7B81"/>
    <w:rsid w:val="000B3955"/>
    <w:rsid w:val="000C5457"/>
    <w:rsid w:val="000C71D6"/>
    <w:rsid w:val="000D6495"/>
    <w:rsid w:val="000D7D13"/>
    <w:rsid w:val="000E413F"/>
    <w:rsid w:val="000E5394"/>
    <w:rsid w:val="000E680B"/>
    <w:rsid w:val="000F33AF"/>
    <w:rsid w:val="00102633"/>
    <w:rsid w:val="00105677"/>
    <w:rsid w:val="0010700D"/>
    <w:rsid w:val="00113894"/>
    <w:rsid w:val="00120907"/>
    <w:rsid w:val="00123664"/>
    <w:rsid w:val="00135B0A"/>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834A6"/>
    <w:rsid w:val="001918D1"/>
    <w:rsid w:val="001A0851"/>
    <w:rsid w:val="001A33E2"/>
    <w:rsid w:val="001A5C56"/>
    <w:rsid w:val="001B0C30"/>
    <w:rsid w:val="001B56FB"/>
    <w:rsid w:val="001B60D6"/>
    <w:rsid w:val="001B6C4B"/>
    <w:rsid w:val="001B7737"/>
    <w:rsid w:val="001C0419"/>
    <w:rsid w:val="001C0762"/>
    <w:rsid w:val="001D03B9"/>
    <w:rsid w:val="001D0685"/>
    <w:rsid w:val="001D22D6"/>
    <w:rsid w:val="001D4A0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843"/>
    <w:rsid w:val="00323CE9"/>
    <w:rsid w:val="003276C3"/>
    <w:rsid w:val="00332B63"/>
    <w:rsid w:val="0033768E"/>
    <w:rsid w:val="00350EB5"/>
    <w:rsid w:val="00362E24"/>
    <w:rsid w:val="00372493"/>
    <w:rsid w:val="00372CDC"/>
    <w:rsid w:val="003741E7"/>
    <w:rsid w:val="003858C1"/>
    <w:rsid w:val="00386257"/>
    <w:rsid w:val="00387DDF"/>
    <w:rsid w:val="00390955"/>
    <w:rsid w:val="00390CEA"/>
    <w:rsid w:val="00391FB7"/>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001B8"/>
    <w:rsid w:val="0041054E"/>
    <w:rsid w:val="004111BA"/>
    <w:rsid w:val="004238A0"/>
    <w:rsid w:val="00426DFB"/>
    <w:rsid w:val="00426E0B"/>
    <w:rsid w:val="00431472"/>
    <w:rsid w:val="00433EEA"/>
    <w:rsid w:val="00443434"/>
    <w:rsid w:val="00445194"/>
    <w:rsid w:val="00445CEC"/>
    <w:rsid w:val="00447DE1"/>
    <w:rsid w:val="004505A0"/>
    <w:rsid w:val="00450EED"/>
    <w:rsid w:val="0045692E"/>
    <w:rsid w:val="004605EC"/>
    <w:rsid w:val="00462C4F"/>
    <w:rsid w:val="00473FBE"/>
    <w:rsid w:val="00474463"/>
    <w:rsid w:val="00485769"/>
    <w:rsid w:val="004A2D1F"/>
    <w:rsid w:val="004A350E"/>
    <w:rsid w:val="004B55B7"/>
    <w:rsid w:val="004C1795"/>
    <w:rsid w:val="004C1BC9"/>
    <w:rsid w:val="004C267A"/>
    <w:rsid w:val="004C377A"/>
    <w:rsid w:val="004C6C3C"/>
    <w:rsid w:val="004D69C4"/>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51260"/>
    <w:rsid w:val="00553A93"/>
    <w:rsid w:val="00553BDB"/>
    <w:rsid w:val="00556321"/>
    <w:rsid w:val="005569EB"/>
    <w:rsid w:val="00560900"/>
    <w:rsid w:val="005615A7"/>
    <w:rsid w:val="005629D7"/>
    <w:rsid w:val="005721F6"/>
    <w:rsid w:val="00597E9A"/>
    <w:rsid w:val="005A0448"/>
    <w:rsid w:val="005A143C"/>
    <w:rsid w:val="005A2AA3"/>
    <w:rsid w:val="005A36EA"/>
    <w:rsid w:val="005A5ED6"/>
    <w:rsid w:val="005A60CA"/>
    <w:rsid w:val="005A6A63"/>
    <w:rsid w:val="005B1507"/>
    <w:rsid w:val="005B4CCF"/>
    <w:rsid w:val="005B53B2"/>
    <w:rsid w:val="005B5412"/>
    <w:rsid w:val="005C425C"/>
    <w:rsid w:val="005C4B59"/>
    <w:rsid w:val="005C66DE"/>
    <w:rsid w:val="005E0151"/>
    <w:rsid w:val="005E1896"/>
    <w:rsid w:val="005E32F3"/>
    <w:rsid w:val="005E4D8B"/>
    <w:rsid w:val="005E5137"/>
    <w:rsid w:val="005F17C6"/>
    <w:rsid w:val="00601EE6"/>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4D1"/>
    <w:rsid w:val="00691B1A"/>
    <w:rsid w:val="006A0F9C"/>
    <w:rsid w:val="006A39E0"/>
    <w:rsid w:val="006C105A"/>
    <w:rsid w:val="006C26C8"/>
    <w:rsid w:val="006C319B"/>
    <w:rsid w:val="006D1EBB"/>
    <w:rsid w:val="006D5BF6"/>
    <w:rsid w:val="006E1CCB"/>
    <w:rsid w:val="006E28C8"/>
    <w:rsid w:val="006E2D9B"/>
    <w:rsid w:val="006E57B8"/>
    <w:rsid w:val="006E6E6D"/>
    <w:rsid w:val="006F191C"/>
    <w:rsid w:val="006F20CD"/>
    <w:rsid w:val="006F6252"/>
    <w:rsid w:val="0070485C"/>
    <w:rsid w:val="007054B6"/>
    <w:rsid w:val="00706C1D"/>
    <w:rsid w:val="00710268"/>
    <w:rsid w:val="007131BC"/>
    <w:rsid w:val="007148B5"/>
    <w:rsid w:val="00725A74"/>
    <w:rsid w:val="0072794D"/>
    <w:rsid w:val="00730AC6"/>
    <w:rsid w:val="007352D2"/>
    <w:rsid w:val="00736AE8"/>
    <w:rsid w:val="007373F4"/>
    <w:rsid w:val="007379A2"/>
    <w:rsid w:val="007512B9"/>
    <w:rsid w:val="007567E6"/>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0CA5"/>
    <w:rsid w:val="007D2849"/>
    <w:rsid w:val="007D32BF"/>
    <w:rsid w:val="007D35E9"/>
    <w:rsid w:val="007D5F7C"/>
    <w:rsid w:val="007E71AD"/>
    <w:rsid w:val="007F1337"/>
    <w:rsid w:val="007F7DE1"/>
    <w:rsid w:val="007F7E95"/>
    <w:rsid w:val="008025C2"/>
    <w:rsid w:val="00805D09"/>
    <w:rsid w:val="008136A5"/>
    <w:rsid w:val="00815DCF"/>
    <w:rsid w:val="0081657D"/>
    <w:rsid w:val="00824DB0"/>
    <w:rsid w:val="00826FF2"/>
    <w:rsid w:val="008346AA"/>
    <w:rsid w:val="00837993"/>
    <w:rsid w:val="008407C0"/>
    <w:rsid w:val="00840888"/>
    <w:rsid w:val="00841939"/>
    <w:rsid w:val="00843023"/>
    <w:rsid w:val="00847E68"/>
    <w:rsid w:val="008551A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4996"/>
    <w:rsid w:val="008A5874"/>
    <w:rsid w:val="008B1629"/>
    <w:rsid w:val="008B5DE9"/>
    <w:rsid w:val="008C47A4"/>
    <w:rsid w:val="008E26AD"/>
    <w:rsid w:val="008E45B5"/>
    <w:rsid w:val="008F3C68"/>
    <w:rsid w:val="008F5DAD"/>
    <w:rsid w:val="00902C63"/>
    <w:rsid w:val="00902E28"/>
    <w:rsid w:val="0091155E"/>
    <w:rsid w:val="009208A1"/>
    <w:rsid w:val="00921A15"/>
    <w:rsid w:val="00927B06"/>
    <w:rsid w:val="0093443C"/>
    <w:rsid w:val="00940F33"/>
    <w:rsid w:val="00943FC6"/>
    <w:rsid w:val="00945DFC"/>
    <w:rsid w:val="00952EBA"/>
    <w:rsid w:val="009538A1"/>
    <w:rsid w:val="00953AA7"/>
    <w:rsid w:val="0095493C"/>
    <w:rsid w:val="0096116D"/>
    <w:rsid w:val="00963D13"/>
    <w:rsid w:val="00971D6A"/>
    <w:rsid w:val="0098631D"/>
    <w:rsid w:val="00987EED"/>
    <w:rsid w:val="00993609"/>
    <w:rsid w:val="009948D8"/>
    <w:rsid w:val="009A0AAD"/>
    <w:rsid w:val="009A0F80"/>
    <w:rsid w:val="009A619E"/>
    <w:rsid w:val="009A703A"/>
    <w:rsid w:val="009A707A"/>
    <w:rsid w:val="009B0F3F"/>
    <w:rsid w:val="009B249C"/>
    <w:rsid w:val="009B3275"/>
    <w:rsid w:val="009C12C9"/>
    <w:rsid w:val="009C26DC"/>
    <w:rsid w:val="009C3D13"/>
    <w:rsid w:val="009C74AA"/>
    <w:rsid w:val="009D19D6"/>
    <w:rsid w:val="009D2782"/>
    <w:rsid w:val="009D3C88"/>
    <w:rsid w:val="009E0AB5"/>
    <w:rsid w:val="009F4A36"/>
    <w:rsid w:val="009F4AED"/>
    <w:rsid w:val="009F6FA7"/>
    <w:rsid w:val="00A00190"/>
    <w:rsid w:val="00A00307"/>
    <w:rsid w:val="00A02DC5"/>
    <w:rsid w:val="00A05C47"/>
    <w:rsid w:val="00A07C69"/>
    <w:rsid w:val="00A07CA4"/>
    <w:rsid w:val="00A17FC7"/>
    <w:rsid w:val="00A20039"/>
    <w:rsid w:val="00A230ED"/>
    <w:rsid w:val="00A31392"/>
    <w:rsid w:val="00A31CC4"/>
    <w:rsid w:val="00A336B0"/>
    <w:rsid w:val="00A342A5"/>
    <w:rsid w:val="00A35D65"/>
    <w:rsid w:val="00A47C7D"/>
    <w:rsid w:val="00A60A67"/>
    <w:rsid w:val="00A74BB6"/>
    <w:rsid w:val="00A9323D"/>
    <w:rsid w:val="00AA3132"/>
    <w:rsid w:val="00AA7DF1"/>
    <w:rsid w:val="00AB4F36"/>
    <w:rsid w:val="00AB7E8B"/>
    <w:rsid w:val="00AC7EF6"/>
    <w:rsid w:val="00AD2425"/>
    <w:rsid w:val="00AD5103"/>
    <w:rsid w:val="00AD7B22"/>
    <w:rsid w:val="00AE01EE"/>
    <w:rsid w:val="00AF0154"/>
    <w:rsid w:val="00AF2F7A"/>
    <w:rsid w:val="00AF6501"/>
    <w:rsid w:val="00B02F4A"/>
    <w:rsid w:val="00B106BD"/>
    <w:rsid w:val="00B11CF7"/>
    <w:rsid w:val="00B12599"/>
    <w:rsid w:val="00B173C8"/>
    <w:rsid w:val="00B2245E"/>
    <w:rsid w:val="00B22B1A"/>
    <w:rsid w:val="00B32A5C"/>
    <w:rsid w:val="00B37B1F"/>
    <w:rsid w:val="00B506E9"/>
    <w:rsid w:val="00B52562"/>
    <w:rsid w:val="00B5457C"/>
    <w:rsid w:val="00B5744C"/>
    <w:rsid w:val="00B646C9"/>
    <w:rsid w:val="00B73FA6"/>
    <w:rsid w:val="00B8514C"/>
    <w:rsid w:val="00B87B23"/>
    <w:rsid w:val="00B9127A"/>
    <w:rsid w:val="00B92621"/>
    <w:rsid w:val="00B92B10"/>
    <w:rsid w:val="00B96952"/>
    <w:rsid w:val="00BA32E3"/>
    <w:rsid w:val="00BA5E96"/>
    <w:rsid w:val="00BB322A"/>
    <w:rsid w:val="00BC4874"/>
    <w:rsid w:val="00BC6B99"/>
    <w:rsid w:val="00BD230C"/>
    <w:rsid w:val="00C013E3"/>
    <w:rsid w:val="00C0179D"/>
    <w:rsid w:val="00C02D94"/>
    <w:rsid w:val="00C10EB3"/>
    <w:rsid w:val="00C123EC"/>
    <w:rsid w:val="00C17EE2"/>
    <w:rsid w:val="00C27BAA"/>
    <w:rsid w:val="00C34939"/>
    <w:rsid w:val="00C371C8"/>
    <w:rsid w:val="00C378B0"/>
    <w:rsid w:val="00C419F3"/>
    <w:rsid w:val="00C4333F"/>
    <w:rsid w:val="00C52EAD"/>
    <w:rsid w:val="00C539AC"/>
    <w:rsid w:val="00C54292"/>
    <w:rsid w:val="00C54305"/>
    <w:rsid w:val="00C54BE9"/>
    <w:rsid w:val="00C553F5"/>
    <w:rsid w:val="00C556F0"/>
    <w:rsid w:val="00C613B2"/>
    <w:rsid w:val="00C66441"/>
    <w:rsid w:val="00C6720C"/>
    <w:rsid w:val="00C734FF"/>
    <w:rsid w:val="00C77158"/>
    <w:rsid w:val="00C858AF"/>
    <w:rsid w:val="00C912E7"/>
    <w:rsid w:val="00C916A4"/>
    <w:rsid w:val="00C91759"/>
    <w:rsid w:val="00C93479"/>
    <w:rsid w:val="00CA18FD"/>
    <w:rsid w:val="00CA4BEF"/>
    <w:rsid w:val="00CB162A"/>
    <w:rsid w:val="00CB1BE1"/>
    <w:rsid w:val="00CC0B91"/>
    <w:rsid w:val="00CC1290"/>
    <w:rsid w:val="00CC2502"/>
    <w:rsid w:val="00CC2F79"/>
    <w:rsid w:val="00CD6DE9"/>
    <w:rsid w:val="00CD70DC"/>
    <w:rsid w:val="00CD762B"/>
    <w:rsid w:val="00CE0283"/>
    <w:rsid w:val="00CF436D"/>
    <w:rsid w:val="00CF5C11"/>
    <w:rsid w:val="00CF667A"/>
    <w:rsid w:val="00D016EF"/>
    <w:rsid w:val="00D02A09"/>
    <w:rsid w:val="00D07F41"/>
    <w:rsid w:val="00D120E5"/>
    <w:rsid w:val="00D16BED"/>
    <w:rsid w:val="00D17759"/>
    <w:rsid w:val="00D17A91"/>
    <w:rsid w:val="00D24E13"/>
    <w:rsid w:val="00D31E33"/>
    <w:rsid w:val="00D32639"/>
    <w:rsid w:val="00D33263"/>
    <w:rsid w:val="00D3437F"/>
    <w:rsid w:val="00D3661D"/>
    <w:rsid w:val="00D37EFE"/>
    <w:rsid w:val="00D42A80"/>
    <w:rsid w:val="00D43B0C"/>
    <w:rsid w:val="00D44FB1"/>
    <w:rsid w:val="00D51C52"/>
    <w:rsid w:val="00D5440F"/>
    <w:rsid w:val="00D54FCD"/>
    <w:rsid w:val="00D559E6"/>
    <w:rsid w:val="00D62F17"/>
    <w:rsid w:val="00D64A93"/>
    <w:rsid w:val="00D65A5F"/>
    <w:rsid w:val="00D742EC"/>
    <w:rsid w:val="00D7571C"/>
    <w:rsid w:val="00D76FE3"/>
    <w:rsid w:val="00D84339"/>
    <w:rsid w:val="00D950C6"/>
    <w:rsid w:val="00D95C6B"/>
    <w:rsid w:val="00D974F2"/>
    <w:rsid w:val="00D9769F"/>
    <w:rsid w:val="00DA0C32"/>
    <w:rsid w:val="00DA3A6E"/>
    <w:rsid w:val="00DA6D7E"/>
    <w:rsid w:val="00DB0ACC"/>
    <w:rsid w:val="00DC1905"/>
    <w:rsid w:val="00DC2074"/>
    <w:rsid w:val="00DC6A7D"/>
    <w:rsid w:val="00DC7EFE"/>
    <w:rsid w:val="00DD6858"/>
    <w:rsid w:val="00DE0C6B"/>
    <w:rsid w:val="00DE78E2"/>
    <w:rsid w:val="00DF174E"/>
    <w:rsid w:val="00E001B6"/>
    <w:rsid w:val="00E04CFB"/>
    <w:rsid w:val="00E06A46"/>
    <w:rsid w:val="00E06F6E"/>
    <w:rsid w:val="00E15C4C"/>
    <w:rsid w:val="00E214D2"/>
    <w:rsid w:val="00E24D01"/>
    <w:rsid w:val="00E2535B"/>
    <w:rsid w:val="00E2575D"/>
    <w:rsid w:val="00E27018"/>
    <w:rsid w:val="00E41433"/>
    <w:rsid w:val="00E422B2"/>
    <w:rsid w:val="00E518CA"/>
    <w:rsid w:val="00E53AE5"/>
    <w:rsid w:val="00E558F6"/>
    <w:rsid w:val="00E55FFE"/>
    <w:rsid w:val="00E60649"/>
    <w:rsid w:val="00E61EF7"/>
    <w:rsid w:val="00E662B6"/>
    <w:rsid w:val="00E66F93"/>
    <w:rsid w:val="00E67AE7"/>
    <w:rsid w:val="00E77AF0"/>
    <w:rsid w:val="00E853AA"/>
    <w:rsid w:val="00EA4B22"/>
    <w:rsid w:val="00EA76F8"/>
    <w:rsid w:val="00EB1D7F"/>
    <w:rsid w:val="00EB2DFD"/>
    <w:rsid w:val="00EC165B"/>
    <w:rsid w:val="00EC4B17"/>
    <w:rsid w:val="00EC55C5"/>
    <w:rsid w:val="00EC7077"/>
    <w:rsid w:val="00ED10AA"/>
    <w:rsid w:val="00ED3E41"/>
    <w:rsid w:val="00ED628E"/>
    <w:rsid w:val="00ED6E6E"/>
    <w:rsid w:val="00EF1295"/>
    <w:rsid w:val="00EF1E83"/>
    <w:rsid w:val="00EF2048"/>
    <w:rsid w:val="00EF2346"/>
    <w:rsid w:val="00F052DF"/>
    <w:rsid w:val="00F06F8A"/>
    <w:rsid w:val="00F10F55"/>
    <w:rsid w:val="00F11D5B"/>
    <w:rsid w:val="00F13195"/>
    <w:rsid w:val="00F1416F"/>
    <w:rsid w:val="00F16DB6"/>
    <w:rsid w:val="00F17E09"/>
    <w:rsid w:val="00F252ED"/>
    <w:rsid w:val="00F264E8"/>
    <w:rsid w:val="00F27F4C"/>
    <w:rsid w:val="00F31E31"/>
    <w:rsid w:val="00F32111"/>
    <w:rsid w:val="00F3270E"/>
    <w:rsid w:val="00F35A12"/>
    <w:rsid w:val="00F36298"/>
    <w:rsid w:val="00F37E07"/>
    <w:rsid w:val="00F413E1"/>
    <w:rsid w:val="00F4453C"/>
    <w:rsid w:val="00F655DE"/>
    <w:rsid w:val="00F73C4D"/>
    <w:rsid w:val="00F76949"/>
    <w:rsid w:val="00F87C3C"/>
    <w:rsid w:val="00F91083"/>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1171"/>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 w:type="paragraph" w:customStyle="1" w:styleId="NormalPrefix">
    <w:name w:val="Normal Prefix"/>
    <w:link w:val="NormalPrefix0"/>
    <w:rsid w:val="00921A15"/>
    <w:pPr>
      <w:widowControl w:val="0"/>
      <w:autoSpaceDE w:val="0"/>
      <w:autoSpaceDN w:val="0"/>
      <w:adjustRightInd w:val="0"/>
      <w:spacing w:before="200" w:after="40" w:line="240" w:lineRule="auto"/>
    </w:pPr>
    <w:rPr>
      <w:rFonts w:ascii="Times New Roman" w:eastAsia="Times New Roman" w:hAnsi="Times New Roman" w:cs="Times New Roman"/>
      <w:lang w:eastAsia="ru-RU"/>
    </w:rPr>
  </w:style>
  <w:style w:type="character" w:customStyle="1" w:styleId="SUBST">
    <w:name w:val="__SUBST"/>
    <w:rsid w:val="00921A15"/>
    <w:rPr>
      <w:b/>
      <w:i/>
      <w:sz w:val="22"/>
    </w:rPr>
  </w:style>
  <w:style w:type="character" w:customStyle="1" w:styleId="NormalPrefix0">
    <w:name w:val="Normal Prefix Знак"/>
    <w:link w:val="NormalPrefix"/>
    <w:locked/>
    <w:rsid w:val="00921A15"/>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814293864">
      <w:bodyDiv w:val="1"/>
      <w:marLeft w:val="0"/>
      <w:marRight w:val="0"/>
      <w:marTop w:val="0"/>
      <w:marBottom w:val="0"/>
      <w:divBdr>
        <w:top w:val="none" w:sz="0" w:space="0" w:color="auto"/>
        <w:left w:val="none" w:sz="0" w:space="0" w:color="auto"/>
        <w:bottom w:val="none" w:sz="0" w:space="0" w:color="auto"/>
        <w:right w:val="none" w:sz="0" w:space="0" w:color="auto"/>
      </w:divBdr>
    </w:div>
    <w:div w:id="12880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M@sinara-financ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2F28-2663-4490-AFD6-A5EAFBAE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1415</Words>
  <Characters>8066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7</cp:revision>
  <cp:lastPrinted>2025-05-16T13:47:00Z</cp:lastPrinted>
  <dcterms:created xsi:type="dcterms:W3CDTF">2025-05-23T07:06:00Z</dcterms:created>
  <dcterms:modified xsi:type="dcterms:W3CDTF">2025-08-28T10:44:00Z</dcterms:modified>
</cp:coreProperties>
</file>