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4B786B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02.06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480DE5" w:rsidRPr="00A67310" w:rsidRDefault="00480DE5" w:rsidP="00480DE5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80DE5" w:rsidRPr="00A67310" w:rsidRDefault="00480DE5" w:rsidP="00480DE5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>109029, г. Москва, ул. Средняя Калитниковская, д. 28, стр. 4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480DE5" w:rsidRPr="00A67310" w:rsidRDefault="00480DE5" w:rsidP="00480DE5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4B786B" w:rsidRPr="004B786B" w:rsidRDefault="004B786B" w:rsidP="004B786B">
            <w:pPr>
              <w:jc w:val="both"/>
              <w:rPr>
                <w:b/>
                <w:i/>
              </w:rPr>
            </w:pPr>
            <w:r w:rsidRPr="004B786B">
              <w:rPr>
                <w:b/>
                <w:i/>
              </w:rPr>
              <w:t xml:space="preserve">1. 02 июня 2021 года прекратить полномочия Генерального директора Общества </w:t>
            </w:r>
            <w:proofErr w:type="spellStart"/>
            <w:r w:rsidRPr="004B786B">
              <w:rPr>
                <w:b/>
                <w:i/>
              </w:rPr>
              <w:t>Дандурова</w:t>
            </w:r>
            <w:proofErr w:type="spellEnd"/>
            <w:r w:rsidRPr="004B786B">
              <w:rPr>
                <w:b/>
                <w:i/>
              </w:rPr>
              <w:t xml:space="preserve"> Владислава Давидовича, расторгнуть трудовой договор.</w:t>
            </w:r>
          </w:p>
          <w:p w:rsidR="004B786B" w:rsidRPr="004B786B" w:rsidRDefault="004B786B" w:rsidP="004B786B">
            <w:pPr>
              <w:jc w:val="both"/>
              <w:rPr>
                <w:b/>
                <w:i/>
              </w:rPr>
            </w:pPr>
            <w:r w:rsidRPr="004B786B">
              <w:rPr>
                <w:b/>
                <w:i/>
              </w:rPr>
              <w:t xml:space="preserve">2. Назначить на должность Генерального директора Общества </w:t>
            </w:r>
            <w:proofErr w:type="spellStart"/>
            <w:r w:rsidRPr="004B786B">
              <w:rPr>
                <w:b/>
                <w:i/>
              </w:rPr>
              <w:t>Загвоздину</w:t>
            </w:r>
            <w:proofErr w:type="spellEnd"/>
            <w:r w:rsidRPr="004B786B">
              <w:rPr>
                <w:b/>
                <w:i/>
              </w:rPr>
              <w:t xml:space="preserve"> Наталью Игоревну с</w:t>
            </w:r>
            <w:r>
              <w:rPr>
                <w:b/>
                <w:i/>
              </w:rPr>
              <w:t xml:space="preserve"> </w:t>
            </w:r>
            <w:r w:rsidRPr="004B786B">
              <w:rPr>
                <w:b/>
                <w:i/>
              </w:rPr>
              <w:t>03 июня</w:t>
            </w:r>
            <w:r w:rsidRPr="004B786B">
              <w:rPr>
                <w:b/>
                <w:i/>
              </w:rPr>
              <w:t xml:space="preserve"> </w:t>
            </w:r>
            <w:r w:rsidRPr="004B786B">
              <w:rPr>
                <w:b/>
                <w:i/>
              </w:rPr>
              <w:t>2021 года на срок, предусмотренный Уставом Общества.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4B786B">
              <w:rPr>
                <w:b/>
                <w:i/>
                <w:sz w:val="20"/>
                <w:szCs w:val="20"/>
              </w:rPr>
              <w:t>02 июня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3A27C7">
              <w:rPr>
                <w:b/>
                <w:i/>
                <w:sz w:val="20"/>
                <w:szCs w:val="20"/>
              </w:rPr>
              <w:t>21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4B786B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4B786B">
              <w:rPr>
                <w:b/>
                <w:i/>
              </w:rPr>
              <w:t>02 июня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3A27C7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  <w:bookmarkStart w:id="0" w:name="_GoBack"/>
            <w:bookmarkEnd w:id="0"/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4B786B" w:rsidP="006E2C0A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4B786B" w:rsidP="00805F18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39219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19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39219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D2BF7"/>
    <w:rsid w:val="00245908"/>
    <w:rsid w:val="002F3039"/>
    <w:rsid w:val="00392194"/>
    <w:rsid w:val="003A27C7"/>
    <w:rsid w:val="004029D4"/>
    <w:rsid w:val="00422541"/>
    <w:rsid w:val="00462ABA"/>
    <w:rsid w:val="00480DE5"/>
    <w:rsid w:val="004B786B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5F1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87C5C"/>
    <w:rsid w:val="00AB4303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Sotnikova I.</cp:lastModifiedBy>
  <cp:revision>2</cp:revision>
  <dcterms:created xsi:type="dcterms:W3CDTF">2021-06-02T12:59:00Z</dcterms:created>
  <dcterms:modified xsi:type="dcterms:W3CDTF">2021-06-02T12:59:00Z</dcterms:modified>
</cp:coreProperties>
</file>