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565"/>
      </w:tblGrid>
      <w:tr w:rsidR="00B15E08" w:rsidRPr="002E5C12" w14:paraId="532299A0" w14:textId="77777777" w:rsidTr="002E5C12">
        <w:tc>
          <w:tcPr>
            <w:tcW w:w="9639"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646E9E">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565"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646E9E">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565"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646E9E">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565"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646E9E">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565"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646E9E">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565"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646E9E">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565"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646E9E">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565" w:type="dxa"/>
            <w:shd w:val="clear" w:color="auto" w:fill="auto"/>
            <w:vAlign w:val="center"/>
          </w:tcPr>
          <w:p w14:paraId="021571D4" w14:textId="56957506" w:rsidR="001C6504" w:rsidRPr="002C52CE" w:rsidRDefault="00DE764D" w:rsidP="001C6504">
            <w:pPr>
              <w:spacing w:before="40" w:after="40"/>
              <w:rPr>
                <w:sz w:val="22"/>
                <w:szCs w:val="22"/>
              </w:rPr>
            </w:pPr>
            <w:r>
              <w:rPr>
                <w:b/>
                <w:i/>
                <w:sz w:val="22"/>
                <w:szCs w:val="22"/>
              </w:rPr>
              <w:t>1</w:t>
            </w:r>
            <w:r w:rsidR="00F00E7E">
              <w:rPr>
                <w:b/>
                <w:i/>
                <w:sz w:val="22"/>
                <w:szCs w:val="22"/>
              </w:rPr>
              <w:t>4</w:t>
            </w:r>
            <w:r w:rsidR="001C6504" w:rsidRPr="002C52CE">
              <w:rPr>
                <w:b/>
                <w:i/>
                <w:sz w:val="22"/>
                <w:szCs w:val="22"/>
              </w:rPr>
              <w:t>.</w:t>
            </w:r>
            <w:r>
              <w:rPr>
                <w:b/>
                <w:i/>
                <w:sz w:val="22"/>
                <w:szCs w:val="22"/>
              </w:rPr>
              <w:t>11</w:t>
            </w:r>
            <w:r w:rsidR="001C6504" w:rsidRPr="002C52CE">
              <w:rPr>
                <w:b/>
                <w:i/>
                <w:sz w:val="22"/>
                <w:szCs w:val="22"/>
              </w:rPr>
              <w:t>.202</w:t>
            </w:r>
            <w:r w:rsidR="00E17D97">
              <w:rPr>
                <w:b/>
                <w:i/>
                <w:sz w:val="22"/>
                <w:szCs w:val="22"/>
              </w:rPr>
              <w:t>4</w:t>
            </w:r>
            <w:r w:rsidR="001C6504" w:rsidRPr="002C52CE">
              <w:rPr>
                <w:b/>
                <w:i/>
                <w:sz w:val="22"/>
                <w:szCs w:val="22"/>
              </w:rPr>
              <w:t xml:space="preserve"> </w:t>
            </w:r>
          </w:p>
        </w:tc>
      </w:tr>
      <w:tr w:rsidR="007F38C9" w:rsidRPr="001C6504" w14:paraId="2EE1A91C" w14:textId="77777777" w:rsidTr="002E5C12">
        <w:tc>
          <w:tcPr>
            <w:tcW w:w="9639"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2E5C12">
        <w:tc>
          <w:tcPr>
            <w:tcW w:w="9639" w:type="dxa"/>
            <w:gridSpan w:val="2"/>
            <w:shd w:val="clear" w:color="auto" w:fill="auto"/>
          </w:tcPr>
          <w:p w14:paraId="3EF54ABF" w14:textId="2E3C2A1B" w:rsidR="00DE764D" w:rsidRDefault="00BD2F46" w:rsidP="00DE764D">
            <w:pPr>
              <w:spacing w:before="120"/>
              <w:ind w:left="57" w:right="57"/>
              <w:jc w:val="both"/>
              <w:rPr>
                <w:b/>
                <w:i/>
                <w:sz w:val="22"/>
                <w:szCs w:val="22"/>
                <w:shd w:val="clear" w:color="auto" w:fill="FFFFFF"/>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DE764D" w:rsidRPr="006051DA">
              <w:rPr>
                <w:b/>
                <w:i/>
                <w:sz w:val="22"/>
                <w:szCs w:val="22"/>
                <w:shd w:val="clear" w:color="auto" w:fill="FFFFFF"/>
              </w:rPr>
              <w:t>биржевые облигации с обеспечением неконвертируемые бездокументарные процентные серии 003Р-0</w:t>
            </w:r>
            <w:r w:rsidR="00DE764D">
              <w:rPr>
                <w:b/>
                <w:i/>
                <w:sz w:val="22"/>
                <w:szCs w:val="22"/>
                <w:shd w:val="clear" w:color="auto" w:fill="FFFFFF"/>
              </w:rPr>
              <w:t>1</w:t>
            </w:r>
            <w:r w:rsidR="00DE764D" w:rsidRPr="006051DA">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DE764D">
              <w:rPr>
                <w:b/>
                <w:i/>
                <w:sz w:val="22"/>
                <w:szCs w:val="22"/>
                <w:shd w:val="clear" w:color="auto" w:fill="FFFFFF"/>
              </w:rPr>
              <w:t>1</w:t>
            </w:r>
            <w:r w:rsidR="00DE764D" w:rsidRPr="006051DA">
              <w:rPr>
                <w:b/>
                <w:i/>
                <w:sz w:val="22"/>
                <w:szCs w:val="22"/>
                <w:shd w:val="clear" w:color="auto" w:fill="FFFFFF"/>
              </w:rPr>
              <w:t>-36241-R-003P</w:t>
            </w:r>
            <w:r w:rsidR="00DE764D" w:rsidRPr="006051DA">
              <w:rPr>
                <w:b/>
                <w:bCs/>
                <w:i/>
                <w:iCs/>
                <w:sz w:val="22"/>
                <w:szCs w:val="22"/>
                <w:shd w:val="clear" w:color="auto" w:fill="FFFFFF"/>
              </w:rPr>
              <w:t xml:space="preserve"> от </w:t>
            </w:r>
            <w:r w:rsidR="00DE764D">
              <w:rPr>
                <w:b/>
                <w:bCs/>
                <w:i/>
                <w:iCs/>
                <w:sz w:val="22"/>
                <w:szCs w:val="22"/>
                <w:shd w:val="clear" w:color="auto" w:fill="FFFFFF"/>
              </w:rPr>
              <w:t>12</w:t>
            </w:r>
            <w:r w:rsidR="00DE764D" w:rsidRPr="006051DA">
              <w:rPr>
                <w:b/>
                <w:bCs/>
                <w:i/>
                <w:iCs/>
                <w:sz w:val="22"/>
                <w:szCs w:val="22"/>
                <w:shd w:val="clear" w:color="auto" w:fill="FFFFFF"/>
              </w:rPr>
              <w:t>.</w:t>
            </w:r>
            <w:r w:rsidR="00DE764D">
              <w:rPr>
                <w:b/>
                <w:bCs/>
                <w:i/>
                <w:iCs/>
                <w:sz w:val="22"/>
                <w:szCs w:val="22"/>
                <w:shd w:val="clear" w:color="auto" w:fill="FFFFFF"/>
              </w:rPr>
              <w:t>10</w:t>
            </w:r>
            <w:r w:rsidR="00DE764D" w:rsidRPr="006051DA">
              <w:rPr>
                <w:b/>
                <w:bCs/>
                <w:i/>
                <w:iCs/>
                <w:sz w:val="22"/>
                <w:szCs w:val="22"/>
                <w:shd w:val="clear" w:color="auto" w:fill="FFFFFF"/>
              </w:rPr>
              <w:t>.202</w:t>
            </w:r>
            <w:r w:rsidR="00DE764D">
              <w:rPr>
                <w:b/>
                <w:bCs/>
                <w:i/>
                <w:iCs/>
                <w:sz w:val="22"/>
                <w:szCs w:val="22"/>
                <w:shd w:val="clear" w:color="auto" w:fill="FFFFFF"/>
              </w:rPr>
              <w:t>3</w:t>
            </w:r>
            <w:r w:rsidR="00DE764D">
              <w:rPr>
                <w:b/>
                <w:bCs/>
                <w:i/>
                <w:iCs/>
                <w:sz w:val="22"/>
                <w:szCs w:val="22"/>
                <w:shd w:val="clear" w:color="auto" w:fill="FFFFFF"/>
              </w:rPr>
              <w:t xml:space="preserve"> (далее – Биржевые облигации)</w:t>
            </w:r>
            <w:r w:rsidR="00DE764D" w:rsidRPr="006051DA">
              <w:rPr>
                <w:b/>
                <w:i/>
                <w:sz w:val="22"/>
                <w:szCs w:val="22"/>
                <w:shd w:val="clear" w:color="auto" w:fill="FFFFFF"/>
              </w:rPr>
              <w:t xml:space="preserve">. </w:t>
            </w:r>
            <w:r w:rsidR="00DE764D" w:rsidRPr="006051DA">
              <w:rPr>
                <w:b/>
                <w:bCs/>
                <w:i/>
                <w:sz w:val="22"/>
                <w:szCs w:val="22"/>
                <w:shd w:val="clear" w:color="auto" w:fill="FFFFFF"/>
              </w:rPr>
              <w:t>Международный код (номер) идентификации ценных бумаг (ISIN</w:t>
            </w:r>
            <w:r w:rsidR="00DE764D" w:rsidRPr="001B5B5B">
              <w:rPr>
                <w:b/>
                <w:i/>
                <w:sz w:val="22"/>
                <w:szCs w:val="22"/>
                <w:shd w:val="clear" w:color="auto" w:fill="FFFFFF"/>
              </w:rPr>
              <w:t>) RU000A109JH1 и международный код классификации финансовых инструментов (CFI) DBXGXB</w:t>
            </w:r>
          </w:p>
          <w:p w14:paraId="171FE56F" w14:textId="77777777" w:rsidR="00DE764D" w:rsidRDefault="00BD2F46" w:rsidP="009D12D2">
            <w:pPr>
              <w:adjustRightInd w:val="0"/>
              <w:spacing w:before="120"/>
              <w:ind w:left="57" w:right="57"/>
              <w:jc w:val="both"/>
              <w:rPr>
                <w:b/>
                <w:i/>
                <w:sz w:val="22"/>
                <w:szCs w:val="22"/>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r w:rsidR="0003344C" w:rsidRPr="00480A1E">
              <w:rPr>
                <w:b/>
                <w:bCs/>
                <w:i/>
                <w:iCs/>
                <w:sz w:val="22"/>
                <w:szCs w:val="22"/>
              </w:rPr>
              <w:t xml:space="preserve">Биржевые облигации погашаются </w:t>
            </w:r>
            <w:r w:rsidR="0003344C" w:rsidRPr="00480A1E">
              <w:rPr>
                <w:b/>
                <w:i/>
                <w:sz w:val="22"/>
                <w:szCs w:val="22"/>
              </w:rPr>
              <w:t>в 3 6</w:t>
            </w:r>
            <w:r w:rsidR="00DE764D">
              <w:rPr>
                <w:b/>
                <w:i/>
                <w:sz w:val="22"/>
                <w:szCs w:val="22"/>
              </w:rPr>
              <w:t>3</w:t>
            </w:r>
            <w:r w:rsidR="0003344C" w:rsidRPr="00480A1E">
              <w:rPr>
                <w:b/>
                <w:i/>
                <w:sz w:val="22"/>
                <w:szCs w:val="22"/>
              </w:rPr>
              <w:t xml:space="preserve">0 (Три тысяч шестьсот </w:t>
            </w:r>
            <w:r w:rsidR="00DE764D">
              <w:rPr>
                <w:b/>
                <w:i/>
                <w:sz w:val="22"/>
                <w:szCs w:val="22"/>
              </w:rPr>
              <w:t>тридцатый</w:t>
            </w:r>
            <w:r w:rsidR="0003344C" w:rsidRPr="00480A1E">
              <w:rPr>
                <w:b/>
                <w:i/>
                <w:sz w:val="22"/>
                <w:szCs w:val="22"/>
              </w:rPr>
              <w:t xml:space="preserve">) день с даты начала размещения Биржевых облигаций. </w:t>
            </w:r>
          </w:p>
          <w:p w14:paraId="09D176F0" w14:textId="49D1F7E5" w:rsidR="0003344C" w:rsidRPr="00480A1E" w:rsidRDefault="0003344C" w:rsidP="009D12D2">
            <w:pPr>
              <w:adjustRightInd w:val="0"/>
              <w:spacing w:before="120"/>
              <w:ind w:left="57" w:right="57"/>
              <w:jc w:val="both"/>
              <w:rPr>
                <w:sz w:val="22"/>
                <w:szCs w:val="22"/>
              </w:rPr>
            </w:pPr>
            <w:r w:rsidRPr="00480A1E">
              <w:rPr>
                <w:b/>
                <w:i/>
                <w:sz w:val="22"/>
                <w:szCs w:val="22"/>
              </w:rPr>
              <w:t>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D3B88A8" w14:textId="33377412" w:rsidR="006F2E39" w:rsidRPr="00480A1E" w:rsidRDefault="00BD2F46" w:rsidP="009D12D2">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4B02-0</w:t>
            </w:r>
            <w:r w:rsidR="00DE764D">
              <w:rPr>
                <w:b/>
                <w:i/>
                <w:sz w:val="22"/>
                <w:szCs w:val="22"/>
              </w:rPr>
              <w:t>1</w:t>
            </w:r>
            <w:r w:rsidR="0003344C" w:rsidRPr="00480A1E">
              <w:rPr>
                <w:b/>
                <w:i/>
                <w:sz w:val="22"/>
                <w:szCs w:val="22"/>
              </w:rPr>
              <w:t xml:space="preserve">-36241-R-003P от </w:t>
            </w:r>
            <w:r w:rsidR="00DE764D">
              <w:rPr>
                <w:b/>
                <w:i/>
                <w:sz w:val="22"/>
                <w:szCs w:val="22"/>
              </w:rPr>
              <w:t>12</w:t>
            </w:r>
            <w:r w:rsidR="0003344C" w:rsidRPr="00480A1E">
              <w:rPr>
                <w:b/>
                <w:i/>
                <w:sz w:val="22"/>
                <w:szCs w:val="22"/>
              </w:rPr>
              <w:t>.</w:t>
            </w:r>
            <w:r w:rsidR="00DE764D">
              <w:rPr>
                <w:b/>
                <w:i/>
                <w:sz w:val="22"/>
                <w:szCs w:val="22"/>
              </w:rPr>
              <w:t>10</w:t>
            </w:r>
            <w:r w:rsidR="0003344C" w:rsidRPr="00480A1E">
              <w:rPr>
                <w:b/>
                <w:i/>
                <w:sz w:val="22"/>
                <w:szCs w:val="22"/>
              </w:rPr>
              <w:t>.202</w:t>
            </w:r>
            <w:r w:rsidR="00DE764D">
              <w:rPr>
                <w:b/>
                <w:i/>
                <w:sz w:val="22"/>
                <w:szCs w:val="22"/>
              </w:rPr>
              <w:t>3</w:t>
            </w:r>
          </w:p>
          <w:p w14:paraId="7D43A185" w14:textId="4328BF31" w:rsidR="00840EFD" w:rsidRPr="00480A1E" w:rsidRDefault="00BD2F46" w:rsidP="009D12D2">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D12D2">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9D12D2">
            <w:pPr>
              <w:spacing w:before="120"/>
              <w:ind w:left="57" w:right="57"/>
              <w:jc w:val="both"/>
              <w:rPr>
                <w:i/>
                <w:color w:val="000000"/>
                <w:sz w:val="22"/>
                <w:szCs w:val="22"/>
                <w:shd w:val="clear" w:color="auto" w:fill="FFFFFF"/>
              </w:rPr>
            </w:pPr>
            <w:r w:rsidRPr="00480A1E">
              <w:rPr>
                <w:color w:val="000000"/>
                <w:sz w:val="22"/>
                <w:szCs w:val="22"/>
                <w:shd w:val="clear" w:color="auto" w:fill="FFFFFF"/>
              </w:rPr>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58D4435B" w14:textId="77777777" w:rsidR="00DE764D" w:rsidRPr="00DE764D" w:rsidRDefault="00DE764D" w:rsidP="00DE764D">
            <w:pPr>
              <w:adjustRightInd w:val="0"/>
              <w:ind w:firstLine="567"/>
              <w:jc w:val="both"/>
              <w:rPr>
                <w:b/>
                <w:bCs/>
                <w:i/>
                <w:iCs/>
                <w:sz w:val="22"/>
                <w:szCs w:val="22"/>
              </w:rPr>
            </w:pPr>
            <w:r w:rsidRPr="00DE764D">
              <w:rPr>
                <w:b/>
                <w:bCs/>
                <w:i/>
                <w:iCs/>
                <w:sz w:val="22"/>
                <w:szCs w:val="22"/>
              </w:rPr>
              <w:lastRenderedPageBreak/>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6228EB80" w14:textId="77777777" w:rsidR="00DE764D" w:rsidRPr="00DE764D" w:rsidRDefault="00DE764D" w:rsidP="00DE764D">
            <w:pPr>
              <w:adjustRightInd w:val="0"/>
              <w:ind w:firstLine="567"/>
              <w:jc w:val="both"/>
              <w:rPr>
                <w:b/>
                <w:bCs/>
                <w:i/>
                <w:iCs/>
                <w:sz w:val="22"/>
                <w:szCs w:val="22"/>
              </w:rPr>
            </w:pPr>
            <w:bookmarkStart w:id="0" w:name="_Hlk152094611"/>
            <w:r w:rsidRPr="00DE764D">
              <w:rPr>
                <w:b/>
                <w:bCs/>
                <w:i/>
                <w:iCs/>
                <w:sz w:val="22"/>
                <w:szCs w:val="22"/>
              </w:rPr>
              <w:t>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формуле:</w:t>
            </w:r>
          </w:p>
          <w:p w14:paraId="56DF677D" w14:textId="77777777" w:rsidR="00DE764D" w:rsidRPr="00DE764D" w:rsidRDefault="00DE764D" w:rsidP="00DE764D">
            <w:pPr>
              <w:adjustRightInd w:val="0"/>
              <w:ind w:firstLine="567"/>
              <w:jc w:val="both"/>
              <w:rPr>
                <w:b/>
                <w:bCs/>
                <w:i/>
                <w:iCs/>
                <w:sz w:val="22"/>
                <w:szCs w:val="22"/>
                <w:lang w:val="en-US"/>
              </w:rPr>
            </w:pPr>
            <w:r w:rsidRPr="00DE764D">
              <w:rPr>
                <w:b/>
                <w:bCs/>
                <w:i/>
                <w:iCs/>
                <w:sz w:val="22"/>
                <w:szCs w:val="22"/>
              </w:rPr>
              <w:t>НКД</w:t>
            </w:r>
            <w:r w:rsidRPr="00DE764D">
              <w:rPr>
                <w:b/>
                <w:bCs/>
                <w:i/>
                <w:iCs/>
                <w:sz w:val="22"/>
                <w:szCs w:val="22"/>
                <w:lang w:val="en-US"/>
              </w:rPr>
              <w:t xml:space="preserve"> = Ci * Nom * (T – T(i-1)) / 365 / 100%, </w:t>
            </w:r>
            <w:r w:rsidRPr="00DE764D">
              <w:rPr>
                <w:b/>
                <w:bCs/>
                <w:i/>
                <w:iCs/>
                <w:sz w:val="22"/>
                <w:szCs w:val="22"/>
              </w:rPr>
              <w:t>где</w:t>
            </w:r>
          </w:p>
          <w:p w14:paraId="53920605" w14:textId="77777777" w:rsidR="00DE764D" w:rsidRPr="00DE764D" w:rsidRDefault="00DE764D" w:rsidP="00DE764D">
            <w:pPr>
              <w:adjustRightInd w:val="0"/>
              <w:ind w:firstLine="567"/>
              <w:jc w:val="both"/>
              <w:rPr>
                <w:b/>
                <w:bCs/>
                <w:i/>
                <w:iCs/>
                <w:sz w:val="22"/>
                <w:szCs w:val="22"/>
              </w:rPr>
            </w:pPr>
            <w:r w:rsidRPr="00DE764D">
              <w:rPr>
                <w:b/>
                <w:bCs/>
                <w:i/>
                <w:iCs/>
                <w:sz w:val="22"/>
                <w:szCs w:val="22"/>
              </w:rPr>
              <w:t>НКД – накопленный купонный доход в российских рублях;</w:t>
            </w:r>
          </w:p>
          <w:p w14:paraId="23FDBEF7" w14:textId="77777777" w:rsidR="00DE764D" w:rsidRPr="00DE764D" w:rsidRDefault="00DE764D" w:rsidP="00DE764D">
            <w:pPr>
              <w:adjustRightInd w:val="0"/>
              <w:ind w:firstLine="567"/>
              <w:jc w:val="both"/>
              <w:rPr>
                <w:b/>
                <w:bCs/>
                <w:i/>
                <w:iCs/>
                <w:sz w:val="22"/>
                <w:szCs w:val="22"/>
              </w:rPr>
            </w:pPr>
            <w:proofErr w:type="spellStart"/>
            <w:r w:rsidRPr="00DE764D">
              <w:rPr>
                <w:b/>
                <w:bCs/>
                <w:i/>
                <w:iCs/>
                <w:sz w:val="22"/>
                <w:szCs w:val="22"/>
              </w:rPr>
              <w:t>Ci</w:t>
            </w:r>
            <w:proofErr w:type="spellEnd"/>
            <w:r w:rsidRPr="00DE764D">
              <w:rPr>
                <w:b/>
                <w:bCs/>
                <w:i/>
                <w:iCs/>
                <w:sz w:val="22"/>
                <w:szCs w:val="22"/>
              </w:rPr>
              <w:t xml:space="preserve"> – размер процентной ставки первого купона, в процентах годовых (%);</w:t>
            </w:r>
          </w:p>
          <w:p w14:paraId="5893D8B4" w14:textId="77777777" w:rsidR="00DE764D" w:rsidRPr="00DE764D" w:rsidRDefault="00DE764D" w:rsidP="00DE764D">
            <w:pPr>
              <w:adjustRightInd w:val="0"/>
              <w:ind w:firstLine="567"/>
              <w:jc w:val="both"/>
              <w:rPr>
                <w:b/>
                <w:bCs/>
                <w:i/>
                <w:iCs/>
                <w:sz w:val="22"/>
                <w:szCs w:val="22"/>
              </w:rPr>
            </w:pPr>
            <w:r w:rsidRPr="00DE764D">
              <w:rPr>
                <w:b/>
                <w:bCs/>
                <w:i/>
                <w:iCs/>
                <w:sz w:val="22"/>
                <w:szCs w:val="22"/>
              </w:rPr>
              <w:t>i – порядковый номер купонного периода, i = 1;</w:t>
            </w:r>
          </w:p>
          <w:p w14:paraId="3AED5C77" w14:textId="77777777" w:rsidR="00DE764D" w:rsidRPr="00DE764D" w:rsidRDefault="00DE764D" w:rsidP="00DE764D">
            <w:pPr>
              <w:adjustRightInd w:val="0"/>
              <w:ind w:firstLine="567"/>
              <w:jc w:val="both"/>
              <w:rPr>
                <w:b/>
                <w:bCs/>
                <w:i/>
                <w:iCs/>
                <w:sz w:val="22"/>
                <w:szCs w:val="22"/>
              </w:rPr>
            </w:pPr>
            <w:proofErr w:type="spellStart"/>
            <w:r w:rsidRPr="00DE764D">
              <w:rPr>
                <w:b/>
                <w:bCs/>
                <w:i/>
                <w:iCs/>
                <w:sz w:val="22"/>
                <w:szCs w:val="22"/>
              </w:rPr>
              <w:t>Nom</w:t>
            </w:r>
            <w:proofErr w:type="spellEnd"/>
            <w:r w:rsidRPr="00DE764D">
              <w:rPr>
                <w:b/>
                <w:bCs/>
                <w:i/>
                <w:iCs/>
                <w:sz w:val="22"/>
                <w:szCs w:val="22"/>
              </w:rPr>
              <w:t xml:space="preserve"> – номинальная стоимость одной Биржевой облигации в российских рублях;</w:t>
            </w:r>
          </w:p>
          <w:p w14:paraId="3F010A5C" w14:textId="77777777" w:rsidR="00DE764D" w:rsidRPr="00DE764D" w:rsidRDefault="00DE764D" w:rsidP="00DE764D">
            <w:pPr>
              <w:adjustRightInd w:val="0"/>
              <w:ind w:firstLine="567"/>
              <w:jc w:val="both"/>
              <w:rPr>
                <w:b/>
                <w:bCs/>
                <w:i/>
                <w:iCs/>
                <w:sz w:val="22"/>
                <w:szCs w:val="22"/>
              </w:rPr>
            </w:pPr>
            <w:r w:rsidRPr="00DE764D">
              <w:rPr>
                <w:b/>
                <w:bCs/>
                <w:i/>
                <w:iCs/>
                <w:sz w:val="22"/>
                <w:szCs w:val="22"/>
              </w:rPr>
              <w:t>T(i-1) – дата начала размещения Биржевых облигаций;</w:t>
            </w:r>
          </w:p>
          <w:p w14:paraId="25F7500D" w14:textId="77777777" w:rsidR="00DE764D" w:rsidRPr="00DE764D" w:rsidRDefault="00DE764D" w:rsidP="00DE764D">
            <w:pPr>
              <w:adjustRightInd w:val="0"/>
              <w:ind w:firstLine="567"/>
              <w:jc w:val="both"/>
              <w:rPr>
                <w:b/>
                <w:bCs/>
                <w:i/>
                <w:iCs/>
                <w:sz w:val="22"/>
                <w:szCs w:val="22"/>
              </w:rPr>
            </w:pPr>
            <w:r w:rsidRPr="00DE764D">
              <w:rPr>
                <w:b/>
                <w:bCs/>
                <w:i/>
                <w:iCs/>
                <w:sz w:val="22"/>
                <w:szCs w:val="22"/>
              </w:rPr>
              <w:t>T – дата расчета накопленного купонного дохода внутри первого купонного периода.</w:t>
            </w:r>
          </w:p>
          <w:p w14:paraId="1BC6DA64" w14:textId="77777777" w:rsidR="00DE764D" w:rsidRPr="00DE764D" w:rsidRDefault="00DE764D" w:rsidP="00DE764D">
            <w:pPr>
              <w:adjustRightInd w:val="0"/>
              <w:ind w:firstLine="567"/>
              <w:jc w:val="both"/>
              <w:rPr>
                <w:b/>
                <w:bCs/>
                <w:i/>
                <w:iCs/>
                <w:sz w:val="22"/>
                <w:szCs w:val="22"/>
              </w:rPr>
            </w:pPr>
            <w:r w:rsidRPr="00DE764D">
              <w:rPr>
                <w:b/>
                <w:bCs/>
                <w:i/>
                <w:iCs/>
                <w:sz w:val="22"/>
                <w:szCs w:val="22"/>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w:t>
            </w:r>
            <w:proofErr w:type="gramStart"/>
            <w:r w:rsidRPr="00DE764D">
              <w:rPr>
                <w:b/>
                <w:bCs/>
                <w:i/>
                <w:iCs/>
                <w:sz w:val="22"/>
                <w:szCs w:val="22"/>
              </w:rPr>
              <w:t>единицу, в случае, если</w:t>
            </w:r>
            <w:proofErr w:type="gramEnd"/>
            <w:r w:rsidRPr="00DE764D">
              <w:rPr>
                <w:b/>
                <w:bCs/>
                <w:i/>
                <w:iCs/>
                <w:sz w:val="22"/>
                <w:szCs w:val="22"/>
              </w:rPr>
              <w:t xml:space="preserve"> третий знак после запятой меньше 5, второй знак после запятой не изменяется).</w:t>
            </w:r>
          </w:p>
          <w:bookmarkEnd w:id="0"/>
          <w:p w14:paraId="5920D478" w14:textId="37CB79DF" w:rsidR="0003344C" w:rsidRPr="00480A1E" w:rsidRDefault="00BD2F46" w:rsidP="009D12D2">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53399AB8" w:rsidR="00BD2F46"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76793E">
              <w:rPr>
                <w:b/>
                <w:bCs/>
                <w:i/>
                <w:iCs/>
                <w:sz w:val="22"/>
                <w:szCs w:val="22"/>
              </w:rPr>
              <w:t>20</w:t>
            </w:r>
            <w:r w:rsidR="007230D3" w:rsidRPr="00480A1E">
              <w:rPr>
                <w:b/>
                <w:bCs/>
                <w:i/>
                <w:iCs/>
                <w:sz w:val="22"/>
                <w:szCs w:val="22"/>
              </w:rPr>
              <w:t xml:space="preserve"> </w:t>
            </w:r>
            <w:r w:rsidR="0076793E">
              <w:rPr>
                <w:b/>
                <w:bCs/>
                <w:i/>
                <w:iCs/>
                <w:sz w:val="22"/>
                <w:szCs w:val="22"/>
              </w:rPr>
              <w:t>ноября</w:t>
            </w:r>
            <w:r w:rsidR="00FA33BC" w:rsidRPr="00480A1E">
              <w:rPr>
                <w:b/>
                <w:bCs/>
                <w:i/>
                <w:iCs/>
                <w:sz w:val="22"/>
                <w:szCs w:val="22"/>
              </w:rPr>
              <w:t xml:space="preserve"> 202</w:t>
            </w:r>
            <w:r w:rsidR="00F72A9F" w:rsidRPr="00480A1E">
              <w:rPr>
                <w:b/>
                <w:bCs/>
                <w:i/>
                <w:iCs/>
                <w:sz w:val="22"/>
                <w:szCs w:val="22"/>
              </w:rPr>
              <w:t>4</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9D12D2">
            <w:pPr>
              <w:spacing w:before="120"/>
              <w:ind w:left="57" w:right="57"/>
              <w:jc w:val="both"/>
              <w:rPr>
                <w:b/>
                <w:bCs/>
                <w:i/>
                <w:iCs/>
                <w:sz w:val="22"/>
                <w:szCs w:val="22"/>
              </w:rPr>
            </w:pPr>
            <w:r w:rsidRPr="00480A1E">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Pr="00480A1E" w:rsidRDefault="00BD2F46" w:rsidP="00292DFF">
            <w:pPr>
              <w:spacing w:before="120"/>
              <w:ind w:left="57" w:right="57"/>
              <w:jc w:val="both"/>
              <w:rPr>
                <w:color w:val="000000"/>
                <w:sz w:val="22"/>
                <w:szCs w:val="22"/>
                <w:shd w:val="clear" w:color="auto" w:fill="FFFFFF"/>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p>
          <w:p w14:paraId="7D190BA1" w14:textId="77777777" w:rsidR="00526245" w:rsidRPr="00480A1E" w:rsidRDefault="00526245" w:rsidP="00292DFF">
            <w:pPr>
              <w:spacing w:line="270" w:lineRule="exact"/>
              <w:ind w:left="57"/>
              <w:jc w:val="both"/>
              <w:rPr>
                <w:b/>
                <w:bCs/>
                <w:i/>
                <w:iCs/>
                <w:sz w:val="22"/>
                <w:szCs w:val="22"/>
              </w:rPr>
            </w:pPr>
            <w:r w:rsidRPr="00480A1E">
              <w:rPr>
                <w:b/>
                <w:bCs/>
                <w:i/>
                <w:iCs/>
                <w:sz w:val="22"/>
                <w:szCs w:val="22"/>
              </w:rPr>
              <w:t xml:space="preserve">Датой окончания размещения Биржевых облигаций является наиболее ранняя из следующих дат: </w:t>
            </w:r>
          </w:p>
          <w:p w14:paraId="44E0187F" w14:textId="77777777" w:rsidR="00526245" w:rsidRPr="00480A1E" w:rsidRDefault="00526245" w:rsidP="00292DFF">
            <w:pPr>
              <w:adjustRightInd w:val="0"/>
              <w:spacing w:line="270" w:lineRule="exact"/>
              <w:ind w:left="57"/>
              <w:jc w:val="both"/>
              <w:outlineLvl w:val="2"/>
              <w:rPr>
                <w:b/>
                <w:bCs/>
                <w:i/>
                <w:iCs/>
                <w:sz w:val="22"/>
                <w:szCs w:val="22"/>
              </w:rPr>
            </w:pPr>
            <w:r w:rsidRPr="00480A1E">
              <w:rPr>
                <w:b/>
                <w:bCs/>
                <w:i/>
                <w:iCs/>
                <w:sz w:val="22"/>
                <w:szCs w:val="22"/>
              </w:rPr>
              <w:t xml:space="preserve">а) 3-й (Третий) рабочий день с даты начала размещения Биржевых облигаций; </w:t>
            </w:r>
          </w:p>
          <w:p w14:paraId="0869E069" w14:textId="230924B0" w:rsidR="00526245" w:rsidRPr="00480A1E" w:rsidRDefault="00526245" w:rsidP="00292DFF">
            <w:pPr>
              <w:adjustRightInd w:val="0"/>
              <w:spacing w:line="270" w:lineRule="exact"/>
              <w:ind w:left="57"/>
              <w:jc w:val="both"/>
              <w:outlineLvl w:val="2"/>
              <w:rPr>
                <w:rFonts w:eastAsia="Calibri"/>
                <w:i/>
                <w:sz w:val="22"/>
                <w:szCs w:val="22"/>
              </w:rPr>
            </w:pPr>
            <w:r w:rsidRPr="00480A1E">
              <w:rPr>
                <w:b/>
                <w:bCs/>
                <w:i/>
                <w:iCs/>
                <w:sz w:val="22"/>
                <w:szCs w:val="22"/>
              </w:rPr>
              <w:t>б) дата размещения последней Биржевой облигации выпуска.</w:t>
            </w:r>
          </w:p>
        </w:tc>
      </w:tr>
    </w:tbl>
    <w:p w14:paraId="40AA5F09" w14:textId="77777777" w:rsidR="00B15E08" w:rsidRPr="001C6504" w:rsidRDefault="00B15E08" w:rsidP="00B15E08">
      <w:pPr>
        <w:pStyle w:val="a4"/>
        <w:tabs>
          <w:tab w:val="clear" w:pos="4677"/>
          <w:tab w:val="clear" w:pos="9355"/>
        </w:tabs>
        <w:rPr>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3643" w:rsidRPr="001C6504" w14:paraId="478379B1" w14:textId="77777777" w:rsidTr="00383643">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383643">
        <w:trPr>
          <w:trHeight w:val="98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339B55D0"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6D356949"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76793E">
              <w:rPr>
                <w:rFonts w:eastAsia="Calibri"/>
                <w:sz w:val="22"/>
                <w:szCs w:val="22"/>
              </w:rPr>
              <w:t>1</w:t>
            </w:r>
            <w:r w:rsidR="00286F3E">
              <w:rPr>
                <w:rFonts w:eastAsia="Calibri"/>
                <w:sz w:val="22"/>
                <w:szCs w:val="22"/>
              </w:rPr>
              <w:t>4</w:t>
            </w:r>
            <w:r w:rsidR="00E14CD4" w:rsidRPr="002C52CE">
              <w:rPr>
                <w:rFonts w:eastAsia="Calibri"/>
                <w:sz w:val="22"/>
                <w:szCs w:val="22"/>
              </w:rPr>
              <w:t>»</w:t>
            </w:r>
            <w:r w:rsidRPr="002C52CE">
              <w:rPr>
                <w:rFonts w:eastAsia="Calibri"/>
                <w:sz w:val="22"/>
                <w:szCs w:val="22"/>
              </w:rPr>
              <w:t xml:space="preserve"> </w:t>
            </w:r>
            <w:r w:rsidR="0076793E">
              <w:rPr>
                <w:rFonts w:eastAsia="Calibri"/>
                <w:sz w:val="22"/>
                <w:szCs w:val="22"/>
              </w:rPr>
              <w:t>ноября</w:t>
            </w:r>
            <w:bookmarkStart w:id="1" w:name="_GoBack"/>
            <w:bookmarkEnd w:id="1"/>
            <w:r w:rsidRPr="002C52CE">
              <w:rPr>
                <w:rFonts w:eastAsia="Calibri"/>
                <w:sz w:val="22"/>
                <w:szCs w:val="22"/>
              </w:rPr>
              <w:t xml:space="preserve"> 202</w:t>
            </w:r>
            <w:r w:rsidR="00F72A9F">
              <w:rPr>
                <w:rFonts w:eastAsia="Calibri"/>
                <w:sz w:val="22"/>
                <w:szCs w:val="22"/>
              </w:rPr>
              <w:t>4</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3F7A09"/>
    <w:rsid w:val="004055BB"/>
    <w:rsid w:val="00407307"/>
    <w:rsid w:val="00421861"/>
    <w:rsid w:val="00421884"/>
    <w:rsid w:val="004223AE"/>
    <w:rsid w:val="0042664F"/>
    <w:rsid w:val="00426F46"/>
    <w:rsid w:val="004278A1"/>
    <w:rsid w:val="00427D26"/>
    <w:rsid w:val="00431F56"/>
    <w:rsid w:val="00436850"/>
    <w:rsid w:val="00436968"/>
    <w:rsid w:val="00437A33"/>
    <w:rsid w:val="00440AC5"/>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6916"/>
    <w:rsid w:val="0076793E"/>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D12D2"/>
    <w:rsid w:val="009D3A5F"/>
    <w:rsid w:val="009D574D"/>
    <w:rsid w:val="009D753C"/>
    <w:rsid w:val="009E02C7"/>
    <w:rsid w:val="009E14F1"/>
    <w:rsid w:val="009E2801"/>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1C7F"/>
    <w:rsid w:val="00B850C0"/>
    <w:rsid w:val="00B85F27"/>
    <w:rsid w:val="00B86264"/>
    <w:rsid w:val="00B906FB"/>
    <w:rsid w:val="00B921A3"/>
    <w:rsid w:val="00B95EBA"/>
    <w:rsid w:val="00B97072"/>
    <w:rsid w:val="00B9754C"/>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E764D"/>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362E-4969-4389-A8F7-7BB42A06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784</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6311</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14</cp:revision>
  <cp:lastPrinted>2017-09-01T13:19:00Z</cp:lastPrinted>
  <dcterms:created xsi:type="dcterms:W3CDTF">2024-05-31T13:06:00Z</dcterms:created>
  <dcterms:modified xsi:type="dcterms:W3CDTF">2024-11-14T07:07:00Z</dcterms:modified>
</cp:coreProperties>
</file>